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95"/>
        <w:tblW w:w="11016" w:type="dxa"/>
        <w:tblLook w:val="04A0" w:firstRow="1" w:lastRow="0" w:firstColumn="1" w:lastColumn="0" w:noHBand="0" w:noVBand="1"/>
      </w:tblPr>
      <w:tblGrid>
        <w:gridCol w:w="11016"/>
      </w:tblGrid>
      <w:tr w:rsidR="00A41E2C" w14:paraId="71ABD710" w14:textId="77777777" w:rsidTr="00A41E2C">
        <w:trPr>
          <w:trHeight w:val="507"/>
        </w:trPr>
        <w:tc>
          <w:tcPr>
            <w:tcW w:w="11016" w:type="dxa"/>
            <w:shd w:val="clear" w:color="auto" w:fill="auto"/>
            <w:vAlign w:val="bottom"/>
          </w:tcPr>
          <w:p w14:paraId="51BE8C24" w14:textId="77777777" w:rsidR="00A41E2C" w:rsidRDefault="00A41E2C" w:rsidP="00A41E2C">
            <w:pPr>
              <w:pStyle w:val="DHHSmainheading"/>
            </w:pPr>
            <w:bookmarkStart w:id="0" w:name="_GoBack"/>
            <w:bookmarkEnd w:id="0"/>
            <w:r>
              <w:t xml:space="preserve">Supervision and principles of </w:t>
            </w:r>
          </w:p>
          <w:p w14:paraId="16132988" w14:textId="77777777" w:rsidR="00A41E2C" w:rsidRDefault="00A41E2C" w:rsidP="00A41E2C">
            <w:pPr>
              <w:pStyle w:val="DHHSmainheading"/>
            </w:pPr>
            <w:r>
              <w:t xml:space="preserve">work allocation for Victorian child </w:t>
            </w:r>
          </w:p>
          <w:p w14:paraId="782D01D2" w14:textId="77777777" w:rsidR="00A41E2C" w:rsidRPr="00161AA0" w:rsidRDefault="00A41E2C" w:rsidP="00A41E2C">
            <w:pPr>
              <w:pStyle w:val="DHHSmainheading"/>
            </w:pPr>
            <w:r>
              <w:t>protection practitioners</w:t>
            </w:r>
          </w:p>
        </w:tc>
      </w:tr>
      <w:tr w:rsidR="00A41E2C" w14:paraId="3D25E295" w14:textId="77777777" w:rsidTr="00A41E2C">
        <w:trPr>
          <w:trHeight w:hRule="exact" w:val="472"/>
        </w:trPr>
        <w:tc>
          <w:tcPr>
            <w:tcW w:w="11016" w:type="dxa"/>
            <w:shd w:val="clear" w:color="auto" w:fill="auto"/>
            <w:tcMar>
              <w:top w:w="170" w:type="dxa"/>
              <w:bottom w:w="510" w:type="dxa"/>
            </w:tcMar>
          </w:tcPr>
          <w:p w14:paraId="686671BA" w14:textId="77777777" w:rsidR="00A41E2C" w:rsidRPr="00AD784C" w:rsidRDefault="00A41E2C" w:rsidP="00A41E2C">
            <w:pPr>
              <w:pStyle w:val="DHHSmainsubheading"/>
              <w:rPr>
                <w:szCs w:val="28"/>
              </w:rPr>
            </w:pPr>
          </w:p>
        </w:tc>
      </w:tr>
    </w:tbl>
    <w:p w14:paraId="07D9448A" w14:textId="77777777" w:rsidR="0074696E" w:rsidRPr="004C6EEE" w:rsidRDefault="00567E95" w:rsidP="00AD784C">
      <w:pPr>
        <w:pStyle w:val="Spacerparatopoffirstpage"/>
      </w:pPr>
      <w:r>
        <w:rPr>
          <w:lang w:eastAsia="en-AU"/>
        </w:rPr>
        <w:drawing>
          <wp:anchor distT="0" distB="0" distL="114300" distR="114300" simplePos="0" relativeHeight="251657728" behindDoc="1" locked="1" layoutInCell="0" allowOverlap="1" wp14:anchorId="223ED6A6" wp14:editId="5FBD52D4">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70C18" w14:textId="77777777" w:rsidR="00A62D44" w:rsidRPr="004C6EEE" w:rsidRDefault="00A62D44" w:rsidP="004C6EEE">
      <w:pPr>
        <w:pStyle w:val="Sectionbreakfirstpage"/>
        <w:sectPr w:rsidR="00A62D44" w:rsidRPr="004C6EEE" w:rsidSect="00A41E2C">
          <w:footerReference w:type="default" r:id="rId9"/>
          <w:pgSz w:w="11906" w:h="16838" w:code="9"/>
          <w:pgMar w:top="567" w:right="794" w:bottom="964" w:left="794" w:header="510" w:footer="828" w:gutter="0"/>
          <w:cols w:space="708"/>
          <w:docGrid w:linePitch="360"/>
        </w:sectPr>
      </w:pPr>
    </w:p>
    <w:p w14:paraId="53094DF8" w14:textId="77777777" w:rsidR="007173CA" w:rsidRDefault="007173CA" w:rsidP="007173CA">
      <w:pPr>
        <w:pStyle w:val="DHHSbody"/>
        <w:sectPr w:rsidR="007173CA" w:rsidSect="00775056">
          <w:headerReference w:type="even" r:id="rId10"/>
          <w:headerReference w:type="default" r:id="rId11"/>
          <w:footerReference w:type="default" r:id="rId12"/>
          <w:headerReference w:type="first" r:id="rId13"/>
          <w:type w:val="continuous"/>
          <w:pgSz w:w="11906" w:h="16838" w:code="9"/>
          <w:pgMar w:top="1418" w:right="851" w:bottom="1134" w:left="851" w:header="567" w:footer="827" w:gutter="0"/>
          <w:cols w:space="340"/>
          <w:titlePg/>
          <w:docGrid w:linePitch="360"/>
        </w:sectPr>
      </w:pPr>
      <w:bookmarkStart w:id="1" w:name="_Toc440566508"/>
    </w:p>
    <w:p w14:paraId="6BB21178" w14:textId="77777777" w:rsidR="00324230" w:rsidRPr="00324230" w:rsidRDefault="00324230" w:rsidP="0003235E">
      <w:pPr>
        <w:pStyle w:val="DHHSbody"/>
      </w:pPr>
      <w:bookmarkStart w:id="2" w:name="_Toc440566509"/>
      <w:bookmarkEnd w:id="1"/>
      <w:r w:rsidRPr="00324230">
        <w:t>Supervision of child protection practitioners promotes effective service provision to vulnerable children and their families by:</w:t>
      </w:r>
    </w:p>
    <w:p w14:paraId="2955140B" w14:textId="77777777" w:rsidR="00324230" w:rsidRPr="0003235E" w:rsidRDefault="00324230" w:rsidP="0003235E">
      <w:pPr>
        <w:pStyle w:val="DHHSbullet1"/>
      </w:pPr>
      <w:r w:rsidRPr="0003235E">
        <w:t>providing for critical reflection and professional development in child protection practice</w:t>
      </w:r>
      <w:r w:rsidR="00247A06">
        <w:t>;</w:t>
      </w:r>
    </w:p>
    <w:p w14:paraId="3FEEAFC1" w14:textId="77777777" w:rsidR="00324230" w:rsidRPr="0003235E" w:rsidRDefault="00324230" w:rsidP="0003235E">
      <w:pPr>
        <w:pStyle w:val="DHHSbullet1"/>
      </w:pPr>
      <w:r w:rsidRPr="0003235E">
        <w:t>strengthening workforce adherence to child protection policy and promoting use of the child protection manual to guide and clarify legal and procedural practice responsibilities</w:t>
      </w:r>
      <w:r w:rsidR="00247A06">
        <w:t>;</w:t>
      </w:r>
    </w:p>
    <w:p w14:paraId="42D95D13" w14:textId="77777777" w:rsidR="00324230" w:rsidRPr="0003235E" w:rsidRDefault="00324230" w:rsidP="0003235E">
      <w:pPr>
        <w:pStyle w:val="DHHSbullet1"/>
      </w:pPr>
      <w:r w:rsidRPr="0003235E">
        <w:t>clarifying expectations and responsibilities for supervisors and child protection practitioners</w:t>
      </w:r>
      <w:r w:rsidR="00247A06">
        <w:t>; and</w:t>
      </w:r>
    </w:p>
    <w:p w14:paraId="27D47334" w14:textId="77777777" w:rsidR="0003235E" w:rsidRPr="0003235E" w:rsidRDefault="00324230" w:rsidP="0003235E">
      <w:pPr>
        <w:pStyle w:val="DHHSbullet1"/>
      </w:pPr>
      <w:r w:rsidRPr="0003235E">
        <w:t xml:space="preserve">contributing to </w:t>
      </w:r>
      <w:r w:rsidR="005074EA" w:rsidRPr="0003235E">
        <w:t>employee safety and w</w:t>
      </w:r>
      <w:r w:rsidRPr="0003235E">
        <w:t>ellbeing</w:t>
      </w:r>
      <w:r w:rsidR="005074EA" w:rsidRPr="0003235E">
        <w:t>,</w:t>
      </w:r>
      <w:r w:rsidRPr="0003235E">
        <w:t xml:space="preserve"> and workforce </w:t>
      </w:r>
      <w:r w:rsidR="0003235E">
        <w:t>satisfaction and retention</w:t>
      </w:r>
      <w:r w:rsidR="00620FB9">
        <w:t>.</w:t>
      </w:r>
    </w:p>
    <w:p w14:paraId="02EBBF13" w14:textId="77777777" w:rsidR="00071163" w:rsidRPr="00071163" w:rsidRDefault="00071163" w:rsidP="00071163">
      <w:pPr>
        <w:pStyle w:val="Heading2"/>
        <w:rPr>
          <w:b w:val="0"/>
        </w:rPr>
      </w:pPr>
      <w:r w:rsidRPr="00071163">
        <w:rPr>
          <w:b w:val="0"/>
        </w:rPr>
        <w:t>Purpose of supervision</w:t>
      </w:r>
    </w:p>
    <w:p w14:paraId="1C544871" w14:textId="23ECFFBD" w:rsidR="00CF0272" w:rsidRPr="007F7D69" w:rsidRDefault="00CF0272" w:rsidP="007F7D69">
      <w:pPr>
        <w:pStyle w:val="DHHSbody"/>
      </w:pPr>
      <w:r w:rsidRPr="007F7D69">
        <w:t>The purpose of supervision is to give the supervisor and practitioner an opportunity to jointly undertake formal assessment of and oversight in relation to</w:t>
      </w:r>
      <w:r w:rsidR="00E9507E" w:rsidRPr="007F7D69">
        <w:t xml:space="preserve"> </w:t>
      </w:r>
      <w:r w:rsidRPr="007F7D69">
        <w:t>client needs, the practitioner’s professional support</w:t>
      </w:r>
      <w:r w:rsidR="00E9507E" w:rsidRPr="007F7D69">
        <w:t xml:space="preserve"> and work, health and safety</w:t>
      </w:r>
      <w:r w:rsidRPr="007F7D69">
        <w:t xml:space="preserve"> needs, the practitioner’s workload, and the progress of tasks involved in child protection work.</w:t>
      </w:r>
    </w:p>
    <w:p w14:paraId="686BD384" w14:textId="77777777" w:rsidR="00935CD3" w:rsidRPr="007F7D69" w:rsidRDefault="00CF0272" w:rsidP="007F7D69">
      <w:pPr>
        <w:pStyle w:val="DHHSbody"/>
      </w:pPr>
      <w:r w:rsidRPr="007F7D69">
        <w:t>I</w:t>
      </w:r>
      <w:r w:rsidR="00935CD3" w:rsidRPr="007F7D69">
        <w:t xml:space="preserve">n recognition of the various organisational work units and types of work child protection practitioners undertake, this document aims to provide a guide to </w:t>
      </w:r>
      <w:r w:rsidR="006F0525" w:rsidRPr="007F7D69">
        <w:t>employees</w:t>
      </w:r>
      <w:r w:rsidR="00935CD3" w:rsidRPr="007F7D69">
        <w:t xml:space="preserve"> across the whole </w:t>
      </w:r>
      <w:r w:rsidR="00620FB9" w:rsidRPr="007F7D69">
        <w:t xml:space="preserve">child protection </w:t>
      </w:r>
      <w:r w:rsidR="00225FAA" w:rsidRPr="007F7D69">
        <w:t>program</w:t>
      </w:r>
      <w:r w:rsidR="00935CD3" w:rsidRPr="007F7D69">
        <w:t xml:space="preserve">. It includes the work undertaken by the Central </w:t>
      </w:r>
      <w:r w:rsidR="00971B3C" w:rsidRPr="007F7D69">
        <w:t>After-Hours</w:t>
      </w:r>
      <w:r w:rsidR="00935CD3" w:rsidRPr="007F7D69">
        <w:t xml:space="preserve"> Service, intake, </w:t>
      </w:r>
      <w:r w:rsidR="00225FAA" w:rsidRPr="007F7D69">
        <w:t xml:space="preserve">investigation and </w:t>
      </w:r>
      <w:r w:rsidR="00935CD3" w:rsidRPr="007F7D69">
        <w:t>response, case management and extended care teams, the various</w:t>
      </w:r>
      <w:r w:rsidR="007764C5" w:rsidRPr="007F7D69">
        <w:t xml:space="preserve"> roles in integrated </w:t>
      </w:r>
      <w:r w:rsidR="004F2472" w:rsidRPr="007F7D69">
        <w:t xml:space="preserve">and case contracting </w:t>
      </w:r>
      <w:r w:rsidR="007764C5" w:rsidRPr="007F7D69">
        <w:t>teams</w:t>
      </w:r>
      <w:r w:rsidR="00935CD3" w:rsidRPr="007F7D69">
        <w:t xml:space="preserve"> </w:t>
      </w:r>
      <w:r w:rsidR="007764C5" w:rsidRPr="007F7D69">
        <w:t xml:space="preserve">and </w:t>
      </w:r>
      <w:r w:rsidR="00935CD3" w:rsidRPr="007F7D69">
        <w:t xml:space="preserve">specialist roles, such as </w:t>
      </w:r>
      <w:r w:rsidR="007764C5" w:rsidRPr="007F7D69">
        <w:t>family violence specialists</w:t>
      </w:r>
      <w:r w:rsidR="00935CD3" w:rsidRPr="007F7D69">
        <w:t xml:space="preserve"> and court officers.</w:t>
      </w:r>
    </w:p>
    <w:bookmarkEnd w:id="2"/>
    <w:p w14:paraId="0B9E5F33" w14:textId="77777777" w:rsidR="00A62D44" w:rsidRPr="00071163" w:rsidRDefault="00935CD3" w:rsidP="00071163">
      <w:pPr>
        <w:pStyle w:val="Heading2"/>
        <w:rPr>
          <w:b w:val="0"/>
        </w:rPr>
      </w:pPr>
      <w:r w:rsidRPr="00071163">
        <w:rPr>
          <w:b w:val="0"/>
        </w:rPr>
        <w:t>Standard for frequency of supervision</w:t>
      </w:r>
    </w:p>
    <w:p w14:paraId="55B6DEC0" w14:textId="78CE53DE" w:rsidR="00E9507E" w:rsidRPr="00621E99" w:rsidRDefault="00CD6D29" w:rsidP="00CD6D29">
      <w:pPr>
        <w:pStyle w:val="DHHSbody"/>
      </w:pPr>
      <w:bookmarkStart w:id="3" w:name="_Toc256778633"/>
      <w:r>
        <w:rPr>
          <w:rStyle w:val="Strong"/>
          <w:b w:val="0"/>
          <w:color w:val="000000"/>
        </w:rPr>
        <w:t xml:space="preserve">Scheduled or formal supervision is </w:t>
      </w:r>
      <w:r w:rsidR="00E9507E" w:rsidRPr="00621E99">
        <w:t>regular, planned, one-to-one, uninterrupted and held in a private setting between</w:t>
      </w:r>
      <w:r>
        <w:t xml:space="preserve"> the supervisor and supervisee.  Supervision discussions should include p</w:t>
      </w:r>
      <w:r w:rsidR="00E9507E" w:rsidRPr="00621E99">
        <w:t xml:space="preserve">eople management tasks such as planning and allocating work and managing and </w:t>
      </w:r>
      <w:r>
        <w:t>recognising performance, as well as c</w:t>
      </w:r>
      <w:r w:rsidR="00E9507E" w:rsidRPr="00621E99">
        <w:t>asework</w:t>
      </w:r>
      <w:r>
        <w:t xml:space="preserve"> discussion and planning.</w:t>
      </w:r>
    </w:p>
    <w:p w14:paraId="638C4091" w14:textId="77777777" w:rsidR="00620FB9" w:rsidRPr="007F7D69" w:rsidRDefault="00620FB9" w:rsidP="002A48CC">
      <w:pPr>
        <w:pStyle w:val="Heading3"/>
        <w:rPr>
          <w:sz w:val="20"/>
          <w:szCs w:val="20"/>
        </w:rPr>
      </w:pPr>
      <w:r w:rsidRPr="007F7D69">
        <w:rPr>
          <w:sz w:val="20"/>
          <w:szCs w:val="20"/>
        </w:rPr>
        <w:t>Practitioners in Beginning Practice</w:t>
      </w:r>
    </w:p>
    <w:p w14:paraId="1695EC32" w14:textId="283F8F03" w:rsidR="00935CD3" w:rsidRPr="00935CD3" w:rsidRDefault="00935CD3" w:rsidP="002B51B8">
      <w:pPr>
        <w:pStyle w:val="DHHSbody"/>
      </w:pPr>
      <w:r w:rsidRPr="00935CD3">
        <w:t>New practitioners and their supervisors must comply with the supervision requirements of</w:t>
      </w:r>
      <w:r w:rsidR="008F5D14">
        <w:t xml:space="preserve"> ‘Beginning Practice’ (</w:t>
      </w:r>
      <w:r w:rsidR="00C9375C">
        <w:t xml:space="preserve">three </w:t>
      </w:r>
      <w:r w:rsidRPr="00935CD3">
        <w:t>hour</w:t>
      </w:r>
      <w:r w:rsidR="00C9375C">
        <w:t xml:space="preserve">s per fortnight).  </w:t>
      </w:r>
      <w:r w:rsidR="004851E8">
        <w:t>Because new practitioners spend a number of weeks of</w:t>
      </w:r>
      <w:r w:rsidRPr="00935CD3">
        <w:t xml:space="preserve"> program in their workplace, this entails the provision of </w:t>
      </w:r>
      <w:r w:rsidR="00C9375C">
        <w:t>three hours of supervision per fortnight</w:t>
      </w:r>
      <w:r w:rsidR="0032536A">
        <w:t>.</w:t>
      </w:r>
    </w:p>
    <w:p w14:paraId="1092F4C3" w14:textId="77777777" w:rsidR="00620FB9" w:rsidRPr="007F7D69" w:rsidRDefault="00620FB9" w:rsidP="002A48CC">
      <w:pPr>
        <w:pStyle w:val="Heading3"/>
        <w:rPr>
          <w:sz w:val="20"/>
          <w:szCs w:val="20"/>
        </w:rPr>
      </w:pPr>
      <w:r w:rsidRPr="007F7D69">
        <w:rPr>
          <w:sz w:val="20"/>
          <w:szCs w:val="20"/>
        </w:rPr>
        <w:t>All other practitioners</w:t>
      </w:r>
    </w:p>
    <w:p w14:paraId="70C491F6" w14:textId="520BB93E" w:rsidR="00935CD3" w:rsidRDefault="007764C5" w:rsidP="002B51B8">
      <w:pPr>
        <w:pStyle w:val="DHHSbody"/>
      </w:pPr>
      <w:r>
        <w:t>Beyond Beginning Practice, a</w:t>
      </w:r>
      <w:r w:rsidR="00935CD3" w:rsidRPr="00935CD3">
        <w:t xml:space="preserve">s a minimum, practitioners and supervisors will </w:t>
      </w:r>
      <w:r w:rsidR="00691A82">
        <w:t>undertake</w:t>
      </w:r>
      <w:r w:rsidR="00935CD3" w:rsidRPr="00935CD3">
        <w:t xml:space="preserve"> the equivalent of two hours a fortnight of supervision (pro rata for part-time </w:t>
      </w:r>
      <w:r w:rsidR="006F0525">
        <w:t>employees</w:t>
      </w:r>
      <w:r w:rsidR="00935CD3" w:rsidRPr="00935CD3">
        <w:t xml:space="preserve"> or if </w:t>
      </w:r>
      <w:r w:rsidR="006F0525">
        <w:t>employees</w:t>
      </w:r>
      <w:r w:rsidR="00935CD3" w:rsidRPr="00935CD3">
        <w:t xml:space="preserve"> are absent from work during the fortnight). Those two hours must include the equivalent of one hour of scheduled (one-to-one, uninterrupted) supervision a fortnight for full time </w:t>
      </w:r>
      <w:r w:rsidR="006F0525">
        <w:t>employee</w:t>
      </w:r>
      <w:r w:rsidR="00935CD3" w:rsidRPr="00935CD3">
        <w:t xml:space="preserve"> (pro rata for part time </w:t>
      </w:r>
      <w:r w:rsidR="006F0525">
        <w:t>employee</w:t>
      </w:r>
      <w:r w:rsidR="00935CD3" w:rsidRPr="00935CD3">
        <w:t>).</w:t>
      </w:r>
    </w:p>
    <w:bookmarkEnd w:id="3"/>
    <w:p w14:paraId="7B7D22D0" w14:textId="0AAD70CA" w:rsidR="008911B3" w:rsidRDefault="008911B3" w:rsidP="001B2680">
      <w:pPr>
        <w:pStyle w:val="Heading2"/>
        <w:rPr>
          <w:b w:val="0"/>
        </w:rPr>
      </w:pPr>
    </w:p>
    <w:p w14:paraId="3ACCA629" w14:textId="77777777" w:rsidR="008911B3" w:rsidRPr="008911B3" w:rsidRDefault="008911B3" w:rsidP="008911B3">
      <w:pPr>
        <w:pStyle w:val="DHHSbody"/>
      </w:pPr>
    </w:p>
    <w:p w14:paraId="40208241" w14:textId="6F2BB9A0" w:rsidR="00BC7ED7" w:rsidRPr="001B2680" w:rsidRDefault="00935CD3" w:rsidP="001B2680">
      <w:pPr>
        <w:pStyle w:val="Heading2"/>
        <w:rPr>
          <w:b w:val="0"/>
        </w:rPr>
      </w:pPr>
      <w:r w:rsidRPr="001B2680">
        <w:rPr>
          <w:b w:val="0"/>
        </w:rPr>
        <w:lastRenderedPageBreak/>
        <w:t>Supervision tools</w:t>
      </w:r>
    </w:p>
    <w:p w14:paraId="75F3E627" w14:textId="77777777" w:rsidR="001B2680" w:rsidRPr="00136750" w:rsidRDefault="00935CD3" w:rsidP="00136750">
      <w:pPr>
        <w:pStyle w:val="DHHSbody"/>
      </w:pPr>
      <w:r w:rsidRPr="00136750">
        <w:t xml:space="preserve">Supervision tools have been developed to improve the quality, consistency and monitoring of supervision and work allocation. </w:t>
      </w:r>
    </w:p>
    <w:p w14:paraId="221539A5" w14:textId="1FD2D2F6" w:rsidR="00935CD3" w:rsidRPr="00136750" w:rsidRDefault="00935CD3" w:rsidP="00136750">
      <w:pPr>
        <w:pStyle w:val="DHHSbody"/>
      </w:pPr>
      <w:r w:rsidRPr="00136750">
        <w:t>The Child Protection supervision standards provide further details about the standard and frequency of supervision and should be read prior to using the supervision tools.</w:t>
      </w:r>
    </w:p>
    <w:p w14:paraId="235139F2" w14:textId="77777777" w:rsidR="00A64981" w:rsidRPr="00136750" w:rsidRDefault="00935CD3" w:rsidP="00136750">
      <w:pPr>
        <w:pStyle w:val="DHHSbody"/>
      </w:pPr>
      <w:r w:rsidRPr="00136750">
        <w:t>Any issues identified in the supervision session should be discussed and outcomes or actions recorded in the action plan</w:t>
      </w:r>
      <w:r w:rsidR="00A64981" w:rsidRPr="00136750">
        <w:t>.</w:t>
      </w:r>
    </w:p>
    <w:p w14:paraId="7E28CBEE" w14:textId="77777777" w:rsidR="00935CD3" w:rsidRPr="00136750" w:rsidRDefault="00935CD3" w:rsidP="00136750">
      <w:pPr>
        <w:pStyle w:val="DHHSbody"/>
      </w:pPr>
      <w:r w:rsidRPr="00136750">
        <w:t xml:space="preserve">The supervisor is to keep the original of the supervision tool and give a copy to the </w:t>
      </w:r>
      <w:r w:rsidR="008C3088" w:rsidRPr="00136750">
        <w:t>practitioner</w:t>
      </w:r>
      <w:r w:rsidRPr="00136750">
        <w:t>. Supervisors are required to present all supervision tools to their manager and to ensure the supervisor’s supervision tool is completed prior to or during the supervisor’s supervision session with their manager.</w:t>
      </w:r>
    </w:p>
    <w:p w14:paraId="7E24738D" w14:textId="77777777" w:rsidR="00BC7ED7" w:rsidRPr="00247A06" w:rsidRDefault="00935CD3" w:rsidP="00935CD3">
      <w:pPr>
        <w:pStyle w:val="Heading2"/>
        <w:rPr>
          <w:b w:val="0"/>
        </w:rPr>
      </w:pPr>
      <w:r w:rsidRPr="00247A06">
        <w:rPr>
          <w:b w:val="0"/>
        </w:rPr>
        <w:t>Monitoring</w:t>
      </w:r>
    </w:p>
    <w:p w14:paraId="5771DF6F" w14:textId="77777777" w:rsidR="008F5D14" w:rsidRPr="00136750" w:rsidRDefault="00137181" w:rsidP="00136750">
      <w:pPr>
        <w:pStyle w:val="DHHSbody"/>
      </w:pPr>
      <w:r w:rsidRPr="00136750">
        <w:t>Supervision meetings are</w:t>
      </w:r>
      <w:r w:rsidR="008F5D14" w:rsidRPr="00136750">
        <w:t xml:space="preserve"> recorded in the Child Protection Practitioner Supervision Recording function within the Employee Self Service (ESS) system.</w:t>
      </w:r>
    </w:p>
    <w:p w14:paraId="46957EDD" w14:textId="35E78834" w:rsidR="00935CD3" w:rsidRPr="00136750" w:rsidRDefault="008C3088" w:rsidP="00136750">
      <w:pPr>
        <w:pStyle w:val="DHHSbody"/>
      </w:pPr>
      <w:r w:rsidRPr="00136750">
        <w:t xml:space="preserve">Supervision compliance </w:t>
      </w:r>
      <w:r w:rsidR="00137181" w:rsidRPr="00136750">
        <w:t xml:space="preserve">data </w:t>
      </w:r>
      <w:r w:rsidRPr="00136750">
        <w:t>recorded in ESS is report</w:t>
      </w:r>
      <w:r w:rsidR="00AB129C" w:rsidRPr="00136750">
        <w:t>ed</w:t>
      </w:r>
      <w:r w:rsidRPr="00136750">
        <w:t xml:space="preserve"> </w:t>
      </w:r>
      <w:r w:rsidR="00137181" w:rsidRPr="00136750">
        <w:t>on</w:t>
      </w:r>
      <w:r w:rsidRPr="00136750">
        <w:t xml:space="preserve"> and discussed at Area child protection workload review and monitoring panel (WRMP) meetings monthly.  </w:t>
      </w:r>
      <w:r w:rsidR="008100D0" w:rsidRPr="00136750">
        <w:t>Supervision compliance reports are provided to deputy area operations managers on a fortnightly and monthly basis</w:t>
      </w:r>
      <w:r w:rsidR="00935CD3" w:rsidRPr="00136750">
        <w:t>.</w:t>
      </w:r>
      <w:r w:rsidR="008100D0" w:rsidRPr="00136750">
        <w:t xml:space="preserve">  </w:t>
      </w:r>
      <w:r w:rsidR="00935CD3" w:rsidRPr="00136750">
        <w:t xml:space="preserve"> </w:t>
      </w:r>
    </w:p>
    <w:p w14:paraId="7030C072" w14:textId="77777777" w:rsidR="00935CD3" w:rsidRPr="00247A06" w:rsidRDefault="00935CD3" w:rsidP="00935CD3">
      <w:pPr>
        <w:pStyle w:val="Heading2"/>
        <w:rPr>
          <w:b w:val="0"/>
        </w:rPr>
      </w:pPr>
      <w:r w:rsidRPr="00247A06">
        <w:rPr>
          <w:b w:val="0"/>
        </w:rPr>
        <w:t>Principles of allocating safe and effective workloads</w:t>
      </w:r>
    </w:p>
    <w:p w14:paraId="1953BF4A" w14:textId="0902E0CF" w:rsidR="00620FB9" w:rsidRDefault="00935CD3" w:rsidP="002B51B8">
      <w:pPr>
        <w:pStyle w:val="DHHSbody"/>
      </w:pPr>
      <w:r w:rsidRPr="00935CD3">
        <w:t xml:space="preserve">Respectful and open communication between </w:t>
      </w:r>
      <w:r w:rsidR="007764C5">
        <w:t>c</w:t>
      </w:r>
      <w:r w:rsidRPr="00935CD3">
        <w:t xml:space="preserve">hild </w:t>
      </w:r>
      <w:r w:rsidR="007764C5">
        <w:t>p</w:t>
      </w:r>
      <w:r w:rsidRPr="00935CD3">
        <w:t xml:space="preserve">rotection practitioners and supervisors </w:t>
      </w:r>
      <w:r w:rsidR="00620FB9">
        <w:t>promote</w:t>
      </w:r>
      <w:r w:rsidRPr="00935CD3">
        <w:t xml:space="preserve"> relationships that are responsive and</w:t>
      </w:r>
      <w:r w:rsidR="00CD6D29">
        <w:t xml:space="preserve"> sensitive to the professional </w:t>
      </w:r>
      <w:r w:rsidRPr="00935CD3">
        <w:t>developmental and personal needs of child protection practitioners. Regular scheduled supervision is regarded as the most appropriate way to ensure the effective service for clients</w:t>
      </w:r>
      <w:r w:rsidR="00CD6D29">
        <w:t>,</w:t>
      </w:r>
      <w:r w:rsidRPr="00935CD3">
        <w:t xml:space="preserve"> and optimal and safe workloads for individual </w:t>
      </w:r>
      <w:r w:rsidR="00E031D6">
        <w:t>employees</w:t>
      </w:r>
      <w:r w:rsidRPr="00935CD3">
        <w:t xml:space="preserve">. </w:t>
      </w:r>
    </w:p>
    <w:p w14:paraId="3CDE46AF" w14:textId="77777777" w:rsidR="00935CD3" w:rsidRPr="00935CD3" w:rsidRDefault="00935CD3" w:rsidP="002B51B8">
      <w:pPr>
        <w:pStyle w:val="DHHSbody"/>
      </w:pPr>
      <w:r w:rsidRPr="00935CD3">
        <w:t>Each supervision session must include:</w:t>
      </w:r>
    </w:p>
    <w:p w14:paraId="364A8862" w14:textId="3BC2E729" w:rsidR="00620FB9" w:rsidRPr="00A41E2C" w:rsidRDefault="00935CD3" w:rsidP="00A41E2C">
      <w:pPr>
        <w:pStyle w:val="DHHSbullet1"/>
      </w:pPr>
      <w:r w:rsidRPr="00A41E2C">
        <w:t>a discussion focusing on practitioner caseload</w:t>
      </w:r>
      <w:r w:rsidR="00455024" w:rsidRPr="00A41E2C">
        <w:t xml:space="preserve">: </w:t>
      </w:r>
    </w:p>
    <w:p w14:paraId="645EE527" w14:textId="1EF37C01" w:rsidR="00935CD3" w:rsidRPr="00A41E2C" w:rsidRDefault="00935CD3" w:rsidP="00A41E2C">
      <w:pPr>
        <w:pStyle w:val="DHHSbullet1"/>
      </w:pPr>
      <w:r w:rsidRPr="00A41E2C">
        <w:t xml:space="preserve">consideration of the factors relating to </w:t>
      </w:r>
      <w:r w:rsidR="00620FB9" w:rsidRPr="00A41E2C">
        <w:t xml:space="preserve">the </w:t>
      </w:r>
      <w:r w:rsidRPr="00A41E2C">
        <w:t>case</w:t>
      </w:r>
      <w:r w:rsidR="00620FB9" w:rsidRPr="00A41E2C">
        <w:t>s in focus for discussion</w:t>
      </w:r>
      <w:r w:rsidRPr="00A41E2C">
        <w:t xml:space="preserve">, including whether they have altered to the extent they have a significant impact on the overall workload </w:t>
      </w:r>
      <w:r w:rsidR="00CF0272" w:rsidRPr="00A41E2C">
        <w:t>the practitioner carries</w:t>
      </w:r>
      <w:r w:rsidR="00247A06" w:rsidRPr="00A41E2C">
        <w:t>;</w:t>
      </w:r>
    </w:p>
    <w:p w14:paraId="6930C72E" w14:textId="53947703" w:rsidR="00455024" w:rsidRPr="00A41E2C" w:rsidRDefault="00935CD3" w:rsidP="00A41E2C">
      <w:pPr>
        <w:pStyle w:val="DHHSbullet1"/>
      </w:pPr>
      <w:r w:rsidRPr="00A41E2C">
        <w:t xml:space="preserve">discussion and monitoring of the issues and supports that might impact on the </w:t>
      </w:r>
      <w:r w:rsidR="00CF0272" w:rsidRPr="00A41E2C">
        <w:t>practitioner’s</w:t>
      </w:r>
      <w:r w:rsidRPr="00A41E2C">
        <w:t xml:space="preserve"> capacity from time to time</w:t>
      </w:r>
      <w:r w:rsidR="001A737B">
        <w:t>;</w:t>
      </w:r>
    </w:p>
    <w:p w14:paraId="2789E2EF" w14:textId="17184D5E" w:rsidR="001369D6" w:rsidRPr="00A41E2C" w:rsidRDefault="002026E7" w:rsidP="00C73F0E">
      <w:pPr>
        <w:pStyle w:val="DHHSbullet1"/>
        <w:spacing w:after="120"/>
      </w:pPr>
      <w:r w:rsidRPr="00A41E2C">
        <w:t>documentation of</w:t>
      </w:r>
      <w:r w:rsidR="00455024" w:rsidRPr="00A41E2C">
        <w:t xml:space="preserve"> the discussion and agreed actions on the supervision templates published on the Child Protection Manual</w:t>
      </w:r>
      <w:r w:rsidRPr="00A41E2C">
        <w:t>, with</w:t>
      </w:r>
      <w:r w:rsidR="00455024" w:rsidRPr="00A41E2C">
        <w:t xml:space="preserve"> a copy retained </w:t>
      </w:r>
      <w:r w:rsidR="00731B75" w:rsidRPr="00A41E2C">
        <w:t>on the practitioner’s supervision TRIM record</w:t>
      </w:r>
      <w:r w:rsidR="00935CD3" w:rsidRPr="00A41E2C">
        <w:t>.</w:t>
      </w:r>
    </w:p>
    <w:p w14:paraId="6FD3B586" w14:textId="70DCA2F8" w:rsidR="00935CD3" w:rsidRPr="00A41E2C" w:rsidRDefault="00935CD3" w:rsidP="00A41E2C">
      <w:pPr>
        <w:pStyle w:val="DHHSbody"/>
      </w:pPr>
      <w:r w:rsidRPr="00C73F0E">
        <w:t xml:space="preserve">When allocating work to a practitioner, supervisors must </w:t>
      </w:r>
      <w:proofErr w:type="gramStart"/>
      <w:r w:rsidRPr="00C73F0E">
        <w:t>take into account</w:t>
      </w:r>
      <w:proofErr w:type="gramEnd"/>
      <w:r w:rsidRPr="00C73F0E">
        <w:t xml:space="preserve"> two groups of factors in order to allocate </w:t>
      </w:r>
      <w:r w:rsidR="00CF0272" w:rsidRPr="00C73F0E">
        <w:t xml:space="preserve">practitioner’s </w:t>
      </w:r>
      <w:r w:rsidRPr="00C73F0E">
        <w:t xml:space="preserve">an optimal and safe </w:t>
      </w:r>
      <w:r w:rsidR="00F43143" w:rsidRPr="00C73F0E">
        <w:t>workload,</w:t>
      </w:r>
      <w:r w:rsidRPr="00C73F0E">
        <w:t xml:space="preserve"> so they can deliver the best possible service to clients.</w:t>
      </w:r>
      <w:r w:rsidRPr="00A41E2C">
        <w:t xml:space="preserve"> </w:t>
      </w:r>
      <w:r w:rsidR="00620FB9" w:rsidRPr="00A41E2C">
        <w:t>These are:</w:t>
      </w:r>
    </w:p>
    <w:p w14:paraId="27E7D98E" w14:textId="77777777" w:rsidR="00935CD3" w:rsidRPr="00EB18AF" w:rsidRDefault="00935CD3" w:rsidP="00EB18AF">
      <w:pPr>
        <w:pStyle w:val="DHHSnumberdigit"/>
        <w:numPr>
          <w:ilvl w:val="0"/>
          <w:numId w:val="2"/>
        </w:numPr>
      </w:pPr>
      <w:r w:rsidRPr="00EB18AF">
        <w:t>factors relating to the case</w:t>
      </w:r>
    </w:p>
    <w:p w14:paraId="4DF2C164" w14:textId="294B8A77" w:rsidR="007F7D69" w:rsidRPr="00EB18AF" w:rsidRDefault="00935CD3" w:rsidP="00136750">
      <w:pPr>
        <w:pStyle w:val="DHHSnumberdigit"/>
        <w:numPr>
          <w:ilvl w:val="0"/>
          <w:numId w:val="2"/>
        </w:numPr>
      </w:pPr>
      <w:r w:rsidRPr="00EB18AF">
        <w:t>facto</w:t>
      </w:r>
      <w:r w:rsidR="00247A06">
        <w:t>rs relating to the practitioner</w:t>
      </w:r>
    </w:p>
    <w:p w14:paraId="6CDB99F6" w14:textId="140A5CF4" w:rsidR="00935CD3" w:rsidRPr="00935CD3" w:rsidRDefault="00935CD3" w:rsidP="00136750">
      <w:pPr>
        <w:pStyle w:val="DHHSbody"/>
      </w:pPr>
      <w:r w:rsidRPr="00935CD3">
        <w:t>An optimal and safe workload is one that matches the cases that have the greatest urgency with the number, type and mix of cases and other duties, experience and competence of the practitioner.</w:t>
      </w:r>
    </w:p>
    <w:p w14:paraId="3FAE52F3" w14:textId="5214A0F5" w:rsidR="00935CD3" w:rsidRPr="00935CD3" w:rsidRDefault="00935CD3" w:rsidP="002B51B8">
      <w:pPr>
        <w:pStyle w:val="DHHSbody"/>
        <w:rPr>
          <w:rFonts w:eastAsia="Tahoma" w:cs="Arial"/>
          <w:color w:val="000000"/>
          <w:spacing w:val="2"/>
        </w:rPr>
      </w:pPr>
      <w:r w:rsidRPr="00935CD3">
        <w:rPr>
          <w:rFonts w:eastAsia="Tahoma" w:cs="Arial"/>
          <w:color w:val="000000"/>
          <w:spacing w:val="2"/>
        </w:rPr>
        <w:t>Factors relating to the case include:</w:t>
      </w:r>
    </w:p>
    <w:p w14:paraId="1DB1135D" w14:textId="77777777" w:rsidR="00935CD3" w:rsidRPr="00935CD3" w:rsidRDefault="00935CD3" w:rsidP="002B51B8">
      <w:pPr>
        <w:pStyle w:val="DHHSbullet1"/>
      </w:pPr>
      <w:r w:rsidRPr="00935CD3">
        <w:t>the seriousness and complexity of the protective issues</w:t>
      </w:r>
    </w:p>
    <w:p w14:paraId="2D409D85" w14:textId="77777777" w:rsidR="00935CD3" w:rsidRPr="00935CD3" w:rsidRDefault="00935CD3" w:rsidP="002B51B8">
      <w:pPr>
        <w:pStyle w:val="DHHSbullet1"/>
      </w:pPr>
      <w:r w:rsidRPr="00935CD3">
        <w:t>the availability of other organisations to work with the child and family to address the protective issues</w:t>
      </w:r>
    </w:p>
    <w:p w14:paraId="22E7BCC7" w14:textId="77777777" w:rsidR="00935CD3" w:rsidRPr="00935CD3" w:rsidRDefault="00935CD3" w:rsidP="002B51B8">
      <w:pPr>
        <w:pStyle w:val="DHHSbullet1"/>
        <w:rPr>
          <w:spacing w:val="1"/>
        </w:rPr>
      </w:pPr>
      <w:r w:rsidRPr="00935CD3">
        <w:rPr>
          <w:spacing w:val="1"/>
        </w:rPr>
        <w:t>the phase of statutory involvement</w:t>
      </w:r>
      <w:r w:rsidR="0028238D">
        <w:rPr>
          <w:spacing w:val="1"/>
        </w:rPr>
        <w:t xml:space="preserve"> and intensity of court activity </w:t>
      </w:r>
    </w:p>
    <w:p w14:paraId="2F41E062" w14:textId="77777777" w:rsidR="00935CD3" w:rsidRPr="00935CD3" w:rsidRDefault="00935CD3" w:rsidP="002B51B8">
      <w:pPr>
        <w:pStyle w:val="DHHSbullet1"/>
      </w:pPr>
      <w:r w:rsidRPr="00935CD3">
        <w:t>the family’s recognition of and response to protective concerns</w:t>
      </w:r>
    </w:p>
    <w:p w14:paraId="0D49CB06" w14:textId="77777777" w:rsidR="00935CD3" w:rsidRPr="00935CD3" w:rsidRDefault="008A5533" w:rsidP="00CF0272">
      <w:pPr>
        <w:pStyle w:val="DHHSbullet1"/>
      </w:pPr>
      <w:r>
        <w:t>practitioner</w:t>
      </w:r>
      <w:r w:rsidR="00935CD3" w:rsidRPr="00935CD3">
        <w:t xml:space="preserve"> safety issues</w:t>
      </w:r>
    </w:p>
    <w:p w14:paraId="62FE5A3A" w14:textId="77777777" w:rsidR="00935CD3" w:rsidRPr="00935CD3" w:rsidRDefault="00935CD3" w:rsidP="002B51B8">
      <w:pPr>
        <w:pStyle w:val="DHHSbullet1"/>
      </w:pPr>
      <w:r w:rsidRPr="00935CD3">
        <w:t>the level of court-ordere</w:t>
      </w:r>
      <w:r w:rsidR="00CF0272">
        <w:t>d contact or supervised contact</w:t>
      </w:r>
    </w:p>
    <w:p w14:paraId="52D853FD" w14:textId="77777777" w:rsidR="00935CD3" w:rsidRPr="00935CD3" w:rsidRDefault="00935CD3" w:rsidP="00C73F0E">
      <w:pPr>
        <w:pStyle w:val="DHHSbullet1"/>
        <w:spacing w:after="120"/>
      </w:pPr>
      <w:r w:rsidRPr="00935CD3">
        <w:t>whether the case is contracted to a</w:t>
      </w:r>
      <w:r w:rsidR="00247A06">
        <w:t xml:space="preserve"> community service organisation</w:t>
      </w:r>
    </w:p>
    <w:p w14:paraId="5F6CA98B" w14:textId="77777777" w:rsidR="008911B3" w:rsidRDefault="008911B3" w:rsidP="002B51B8">
      <w:pPr>
        <w:pStyle w:val="DHHSbody"/>
      </w:pPr>
    </w:p>
    <w:p w14:paraId="3222CB24" w14:textId="580F5640" w:rsidR="00935CD3" w:rsidRPr="00935CD3" w:rsidRDefault="00935CD3" w:rsidP="002B51B8">
      <w:pPr>
        <w:pStyle w:val="DHHSbody"/>
      </w:pPr>
      <w:r w:rsidRPr="00935CD3">
        <w:lastRenderedPageBreak/>
        <w:t>Factors relating to the practitioner include:</w:t>
      </w:r>
    </w:p>
    <w:p w14:paraId="7BD7F29A" w14:textId="77777777" w:rsidR="00935CD3" w:rsidRPr="00935CD3" w:rsidRDefault="00935CD3" w:rsidP="002B51B8">
      <w:pPr>
        <w:pStyle w:val="DHHSbullet1"/>
      </w:pPr>
      <w:r w:rsidRPr="00935CD3">
        <w:t>the practitioner’s level of experience and competence</w:t>
      </w:r>
    </w:p>
    <w:p w14:paraId="2682E593" w14:textId="77777777" w:rsidR="00935CD3" w:rsidRPr="00935CD3" w:rsidRDefault="00935CD3" w:rsidP="002B51B8">
      <w:pPr>
        <w:pStyle w:val="DHHSbullet1"/>
      </w:pPr>
      <w:r w:rsidRPr="00935CD3">
        <w:t>the number of cases</w:t>
      </w:r>
      <w:r w:rsidR="004F2472">
        <w:t xml:space="preserve"> currently allocated to the practitioner,</w:t>
      </w:r>
      <w:r w:rsidRPr="00935CD3">
        <w:t xml:space="preserve"> and the nature and complexity of the issues within each of the cases allocated to them</w:t>
      </w:r>
    </w:p>
    <w:p w14:paraId="06ADF3F9" w14:textId="77777777" w:rsidR="00935CD3" w:rsidRDefault="00935CD3" w:rsidP="002B51B8">
      <w:pPr>
        <w:pStyle w:val="DHHSbullet1"/>
      </w:pPr>
      <w:r w:rsidRPr="00935CD3">
        <w:t>the range of other non-casework duties the practitioner is engaged in</w:t>
      </w:r>
    </w:p>
    <w:p w14:paraId="5A755A71" w14:textId="77777777" w:rsidR="0028238D" w:rsidRPr="00935CD3" w:rsidRDefault="0028238D" w:rsidP="00C73F0E">
      <w:pPr>
        <w:pStyle w:val="DHHSbullet1"/>
        <w:spacing w:after="120"/>
      </w:pPr>
      <w:r>
        <w:t xml:space="preserve">whether duel allocation with a more senior practitioner should be considered </w:t>
      </w:r>
    </w:p>
    <w:p w14:paraId="5EB4443D" w14:textId="77777777" w:rsidR="00935CD3" w:rsidRPr="00935CD3" w:rsidRDefault="00935CD3" w:rsidP="002B51B8">
      <w:pPr>
        <w:pStyle w:val="DHHSbody"/>
      </w:pPr>
      <w:r w:rsidRPr="00935CD3">
        <w:t xml:space="preserve">Factors to consider when allocating a </w:t>
      </w:r>
      <w:proofErr w:type="gramStart"/>
      <w:r w:rsidRPr="00935CD3">
        <w:t>particular case</w:t>
      </w:r>
      <w:proofErr w:type="gramEnd"/>
      <w:r w:rsidRPr="00935CD3">
        <w:t xml:space="preserve"> to a practitioner:</w:t>
      </w:r>
    </w:p>
    <w:p w14:paraId="44AACA33" w14:textId="77777777" w:rsidR="00935CD3" w:rsidRPr="00935CD3" w:rsidRDefault="00935CD3" w:rsidP="002B51B8">
      <w:pPr>
        <w:pStyle w:val="DHHSbullet1"/>
      </w:pPr>
      <w:r w:rsidRPr="00935CD3">
        <w:t>recent stressful experiences in managing cases</w:t>
      </w:r>
    </w:p>
    <w:p w14:paraId="671BF1E6" w14:textId="77777777" w:rsidR="00935CD3" w:rsidRPr="00935CD3" w:rsidRDefault="00935CD3" w:rsidP="002B51B8">
      <w:pPr>
        <w:pStyle w:val="DHHSbullet1"/>
        <w:rPr>
          <w:spacing w:val="1"/>
        </w:rPr>
      </w:pPr>
      <w:r w:rsidRPr="00935CD3">
        <w:rPr>
          <w:spacing w:val="1"/>
        </w:rPr>
        <w:t>recent similar cases</w:t>
      </w:r>
    </w:p>
    <w:p w14:paraId="361BE98F" w14:textId="77777777" w:rsidR="00935CD3" w:rsidRPr="00935CD3" w:rsidRDefault="00935CD3" w:rsidP="002B51B8">
      <w:pPr>
        <w:pStyle w:val="DHHSbullet1"/>
      </w:pPr>
      <w:r w:rsidRPr="00935CD3">
        <w:t>time-in-lieu and overtime accrual and use</w:t>
      </w:r>
    </w:p>
    <w:p w14:paraId="67DBE717" w14:textId="77777777" w:rsidR="00935CD3" w:rsidRPr="00935CD3" w:rsidRDefault="00935CD3" w:rsidP="002B51B8">
      <w:pPr>
        <w:pStyle w:val="DHHSbullet1"/>
        <w:rPr>
          <w:spacing w:val="1"/>
        </w:rPr>
      </w:pPr>
      <w:r w:rsidRPr="00935CD3">
        <w:rPr>
          <w:spacing w:val="1"/>
        </w:rPr>
        <w:t>family and personal issues</w:t>
      </w:r>
    </w:p>
    <w:p w14:paraId="7A3D5CE1" w14:textId="77777777" w:rsidR="00935CD3" w:rsidRPr="00935CD3" w:rsidRDefault="00935CD3" w:rsidP="002B51B8">
      <w:pPr>
        <w:pStyle w:val="DHHSbullet1"/>
        <w:rPr>
          <w:spacing w:val="2"/>
        </w:rPr>
      </w:pPr>
      <w:r w:rsidRPr="00935CD3">
        <w:rPr>
          <w:spacing w:val="2"/>
        </w:rPr>
        <w:t>the practitioner’s current functioning</w:t>
      </w:r>
    </w:p>
    <w:p w14:paraId="1F2129CA" w14:textId="77777777" w:rsidR="00935CD3" w:rsidRPr="00935CD3" w:rsidRDefault="00935CD3" w:rsidP="002B51B8">
      <w:pPr>
        <w:pStyle w:val="DHHSbullet1"/>
      </w:pPr>
      <w:r w:rsidRPr="00935CD3">
        <w:t>the practitioner’s training requirements and experiences</w:t>
      </w:r>
    </w:p>
    <w:p w14:paraId="048DEB5A" w14:textId="2FF47EA9" w:rsidR="00A41E2C" w:rsidRDefault="00935CD3" w:rsidP="00C73F0E">
      <w:pPr>
        <w:pStyle w:val="DHHSbullet1"/>
        <w:spacing w:after="120"/>
        <w:rPr>
          <w:rFonts w:eastAsia="Tahoma" w:cs="Arial"/>
          <w:color w:val="000000"/>
        </w:rPr>
      </w:pPr>
      <w:r w:rsidRPr="001369D6">
        <w:rPr>
          <w:rFonts w:eastAsia="Tahoma" w:cs="Arial"/>
          <w:color w:val="000000"/>
        </w:rPr>
        <w:t>the practitioner’s developmental stage as a child protection practitioner.</w:t>
      </w:r>
    </w:p>
    <w:p w14:paraId="31111104" w14:textId="3AE11BE6" w:rsidR="00935CD3" w:rsidRPr="00A41E2C" w:rsidRDefault="00935CD3" w:rsidP="00A41E2C">
      <w:pPr>
        <w:pStyle w:val="DHHSbody"/>
      </w:pPr>
      <w:r w:rsidRPr="00A41E2C">
        <w:t xml:space="preserve">In the first instance, the workload a child protection practitioner manages is a matter for the practitioner and their supervisor to determine </w:t>
      </w:r>
      <w:r w:rsidR="005E3CE5" w:rsidRPr="00A41E2C">
        <w:t>during</w:t>
      </w:r>
      <w:r w:rsidRPr="00A41E2C">
        <w:t xml:space="preserve"> scheduled supervision. Scheduled supervision is also the appropriate forum for individual practitioners to discuss their cases as well as the workload issues that might have an impact on their safety</w:t>
      </w:r>
      <w:r w:rsidR="00C9375C" w:rsidRPr="00A41E2C">
        <w:t xml:space="preserve"> and wellbeing</w:t>
      </w:r>
      <w:r w:rsidRPr="00A41E2C">
        <w:t>.</w:t>
      </w:r>
    </w:p>
    <w:p w14:paraId="76C68C6F" w14:textId="0B5917E3" w:rsidR="00935CD3" w:rsidRPr="00A41E2C" w:rsidRDefault="005848C9" w:rsidP="00A41E2C">
      <w:pPr>
        <w:pStyle w:val="DHHSbody"/>
      </w:pPr>
      <w:r w:rsidRPr="00A41E2C">
        <w:t>In summary, when</w:t>
      </w:r>
      <w:r w:rsidR="00935CD3" w:rsidRPr="00A41E2C">
        <w:t xml:space="preserve"> allocating cases to a practitioner, supervisors need to ensure the practitioner’s work allocation is commensurate with their personal and professional competence and their experience.</w:t>
      </w:r>
    </w:p>
    <w:p w14:paraId="3A067131" w14:textId="77777777" w:rsidR="00E35345" w:rsidRPr="00247A06" w:rsidRDefault="00E35345" w:rsidP="00E35345">
      <w:pPr>
        <w:pStyle w:val="Heading2"/>
        <w:rPr>
          <w:b w:val="0"/>
        </w:rPr>
      </w:pPr>
      <w:r w:rsidRPr="00247A06">
        <w:rPr>
          <w:b w:val="0"/>
        </w:rPr>
        <w:t>The role of the supervisor</w:t>
      </w:r>
    </w:p>
    <w:p w14:paraId="243129D0" w14:textId="77777777" w:rsidR="00E35345" w:rsidRDefault="00E35345" w:rsidP="0003235E">
      <w:pPr>
        <w:pStyle w:val="DHHSbody"/>
      </w:pPr>
      <w:r w:rsidRPr="00935CD3">
        <w:t xml:space="preserve">The supervisor’s role is critical to the effective functioning of the child protection </w:t>
      </w:r>
      <w:r>
        <w:t>program</w:t>
      </w:r>
      <w:r w:rsidRPr="00935CD3">
        <w:t xml:space="preserve">. The primary function of the role is to </w:t>
      </w:r>
      <w:r>
        <w:t>guide and support practitioners to ensure adherence to</w:t>
      </w:r>
      <w:r w:rsidRPr="00935CD3">
        <w:t xml:space="preserve"> relevant legislative </w:t>
      </w:r>
      <w:r>
        <w:t>requirements and application of departmental policies and procedures.</w:t>
      </w:r>
      <w:r w:rsidRPr="00935CD3">
        <w:t xml:space="preserve"> </w:t>
      </w:r>
    </w:p>
    <w:p w14:paraId="0D1DCF35" w14:textId="77777777" w:rsidR="00E35345" w:rsidRPr="007E4F02" w:rsidRDefault="00E35345" w:rsidP="0003235E">
      <w:pPr>
        <w:pStyle w:val="DHHSbody"/>
        <w:rPr>
          <w:rStyle w:val="Strong"/>
          <w:rFonts w:cs="Arial"/>
          <w:b w:val="0"/>
          <w:color w:val="000000"/>
        </w:rPr>
      </w:pPr>
      <w:r w:rsidRPr="007E4F02">
        <w:rPr>
          <w:rStyle w:val="Strong"/>
          <w:rFonts w:cs="Arial"/>
          <w:b w:val="0"/>
          <w:color w:val="000000"/>
        </w:rPr>
        <w:t>Supervision is guided by the following overarching principals:</w:t>
      </w:r>
    </w:p>
    <w:p w14:paraId="4BA2D209" w14:textId="77777777" w:rsidR="00E35345" w:rsidRPr="00772EE7" w:rsidRDefault="00E35345" w:rsidP="0003235E">
      <w:pPr>
        <w:pStyle w:val="DHHSbullet1"/>
      </w:pPr>
      <w:r w:rsidRPr="00772EE7">
        <w:rPr>
          <w:rStyle w:val="Strong"/>
          <w:rFonts w:cs="Arial"/>
          <w:color w:val="000000"/>
        </w:rPr>
        <w:t>Managerial:</w:t>
      </w:r>
      <w:r w:rsidRPr="00772EE7">
        <w:t xml:space="preserve"> to promote competent, professional and accountable child protection practice and monitor workloads.</w:t>
      </w:r>
    </w:p>
    <w:p w14:paraId="40607C6F" w14:textId="77777777" w:rsidR="00E35345" w:rsidRPr="00772EE7" w:rsidRDefault="00E35345" w:rsidP="0003235E">
      <w:pPr>
        <w:pStyle w:val="DHHSbullet1"/>
      </w:pPr>
      <w:r w:rsidRPr="00772EE7">
        <w:rPr>
          <w:rStyle w:val="Strong"/>
          <w:rFonts w:cs="Arial"/>
          <w:color w:val="000000"/>
        </w:rPr>
        <w:t>Developmental:</w:t>
      </w:r>
      <w:r w:rsidRPr="00772EE7">
        <w:t xml:space="preserve"> to establish a collaborative and reflective approach for learning and provide a focus on continuing professional development and the provision of regular performance feedback between supervisor and supervisee, pursuant to a developmental plan established through the </w:t>
      </w:r>
      <w:r w:rsidR="00E5580A">
        <w:t>professional development plan (PDP</w:t>
      </w:r>
      <w:r w:rsidR="0014556C">
        <w:t xml:space="preserve">) </w:t>
      </w:r>
      <w:r w:rsidR="0014556C" w:rsidRPr="00772EE7">
        <w:t>process</w:t>
      </w:r>
      <w:r w:rsidRPr="00772EE7">
        <w:t>.</w:t>
      </w:r>
    </w:p>
    <w:p w14:paraId="50928E02" w14:textId="20169ECF" w:rsidR="00E35345" w:rsidRPr="00772EE7" w:rsidRDefault="00E35345" w:rsidP="0003235E">
      <w:pPr>
        <w:pStyle w:val="DHHSbullet1"/>
      </w:pPr>
      <w:r w:rsidRPr="00772EE7">
        <w:rPr>
          <w:rStyle w:val="Strong"/>
          <w:rFonts w:cs="Arial"/>
          <w:color w:val="000000"/>
        </w:rPr>
        <w:t>Supportive:</w:t>
      </w:r>
      <w:r w:rsidRPr="00772EE7">
        <w:t xml:space="preserve"> to crea</w:t>
      </w:r>
      <w:r w:rsidR="005848C9">
        <w:t>te a safe context for practitioner</w:t>
      </w:r>
      <w:r w:rsidRPr="00772EE7">
        <w:t>s to talk about the successes, rewards, challenges, uncertainties and the emotional impacts of child protectio</w:t>
      </w:r>
      <w:r w:rsidR="005848C9">
        <w:t>n work and to monitor practitioner</w:t>
      </w:r>
      <w:r w:rsidRPr="00772EE7">
        <w:t xml:space="preserve"> safety and wellbeing.</w:t>
      </w:r>
    </w:p>
    <w:p w14:paraId="215EBAD8" w14:textId="2E951ABF" w:rsidR="00E35345" w:rsidRDefault="00E35345" w:rsidP="004C35BC">
      <w:pPr>
        <w:pStyle w:val="DHHSbullet1"/>
        <w:spacing w:after="120"/>
      </w:pPr>
      <w:r w:rsidRPr="00772EE7">
        <w:rPr>
          <w:rStyle w:val="Strong"/>
          <w:rFonts w:cs="Arial"/>
          <w:color w:val="000000"/>
        </w:rPr>
        <w:t>Mediative:</w:t>
      </w:r>
      <w:r w:rsidRPr="00772EE7">
        <w:t xml:space="preserve"> to engage the individual with the organi</w:t>
      </w:r>
      <w:r w:rsidR="005848C9">
        <w:t>sation and mediate between practitioners</w:t>
      </w:r>
      <w:r w:rsidRPr="00772EE7">
        <w:t>, the department and others. The mediative function of supervision is the most influential process thr</w:t>
      </w:r>
      <w:r w:rsidR="005848C9">
        <w:t>ough which individual practitioners</w:t>
      </w:r>
      <w:r w:rsidRPr="00772EE7">
        <w:t xml:space="preserve"> perceive and relate to the department and child protection. It also provides important upward feedback about the frontline experience.</w:t>
      </w:r>
    </w:p>
    <w:p w14:paraId="1749243D" w14:textId="38F69A9B" w:rsidR="00E35345" w:rsidRPr="00935CD3" w:rsidRDefault="00E35345" w:rsidP="0003235E">
      <w:pPr>
        <w:pStyle w:val="DHHSbody"/>
        <w:rPr>
          <w:rFonts w:eastAsia="Tahoma" w:cs="Arial"/>
          <w:color w:val="000000"/>
        </w:rPr>
      </w:pPr>
      <w:r w:rsidRPr="00935CD3">
        <w:rPr>
          <w:rFonts w:eastAsia="Tahoma" w:cs="Arial"/>
          <w:color w:val="000000"/>
        </w:rPr>
        <w:t>Supervisors have responsibility to oversee the management and monitoring of work awaiting allocation to a practitioner.</w:t>
      </w:r>
      <w:r>
        <w:rPr>
          <w:rFonts w:eastAsia="Tahoma" w:cs="Arial"/>
          <w:color w:val="000000"/>
        </w:rPr>
        <w:t xml:space="preserve">  </w:t>
      </w:r>
      <w:r w:rsidRPr="00935CD3">
        <w:rPr>
          <w:rFonts w:eastAsia="Tahoma" w:cs="Arial"/>
          <w:color w:val="000000"/>
        </w:rPr>
        <w:t xml:space="preserve">If managing work awaiting allocation impedes the supervisor’s ability to effectively supervise </w:t>
      </w:r>
      <w:r w:rsidR="00E031D6">
        <w:rPr>
          <w:rFonts w:eastAsia="Tahoma" w:cs="Arial"/>
          <w:color w:val="000000"/>
        </w:rPr>
        <w:t>practitioners</w:t>
      </w:r>
      <w:r w:rsidRPr="00935CD3">
        <w:rPr>
          <w:rFonts w:eastAsia="Tahoma" w:cs="Arial"/>
          <w:color w:val="000000"/>
        </w:rPr>
        <w:t xml:space="preserve"> (in accordance with the supervision standards) or to promptly allocate cases where there are significant or immediate safety concerns for the client, the supervisor must advise their manager</w:t>
      </w:r>
      <w:r w:rsidR="004C35BC">
        <w:rPr>
          <w:rFonts w:eastAsia="Tahoma" w:cs="Arial"/>
          <w:color w:val="000000"/>
        </w:rPr>
        <w:t>,</w:t>
      </w:r>
      <w:r w:rsidRPr="00935CD3">
        <w:rPr>
          <w:rFonts w:eastAsia="Tahoma" w:cs="Arial"/>
          <w:color w:val="000000"/>
        </w:rPr>
        <w:t xml:space="preserve"> so the situation can be reviewed and a strategy developed to enable these two functions to occur efficiently.</w:t>
      </w:r>
    </w:p>
    <w:p w14:paraId="6BFFFDC4" w14:textId="77777777" w:rsidR="00E35345" w:rsidRPr="0003235E" w:rsidRDefault="00E35345" w:rsidP="0003235E">
      <w:pPr>
        <w:pStyle w:val="DHHSbody"/>
        <w:rPr>
          <w:rFonts w:eastAsia="Tahoma" w:cs="Arial"/>
          <w:color w:val="000000"/>
        </w:rPr>
      </w:pPr>
      <w:r w:rsidRPr="00935CD3">
        <w:rPr>
          <w:rFonts w:eastAsia="Tahoma" w:cs="Arial"/>
          <w:color w:val="000000"/>
          <w:spacing w:val="2"/>
        </w:rPr>
        <w:t xml:space="preserve">Supervisors must take a balanced approach to clients’ needs and the health and safety of </w:t>
      </w:r>
      <w:r>
        <w:rPr>
          <w:rFonts w:eastAsia="Tahoma" w:cs="Arial"/>
          <w:color w:val="000000"/>
          <w:spacing w:val="2"/>
        </w:rPr>
        <w:t>practitioners</w:t>
      </w:r>
      <w:r w:rsidRPr="00935CD3">
        <w:rPr>
          <w:rFonts w:eastAsia="Tahoma" w:cs="Arial"/>
          <w:color w:val="000000"/>
          <w:spacing w:val="2"/>
        </w:rPr>
        <w:t>. If difficulties related to caseload management cannot be resolved within the regular supervision process, management is responsible for referring matters through the</w:t>
      </w:r>
      <w:r>
        <w:rPr>
          <w:rFonts w:eastAsia="Tahoma" w:cs="Arial"/>
          <w:color w:val="000000"/>
          <w:spacing w:val="2"/>
        </w:rPr>
        <w:t>ir</w:t>
      </w:r>
      <w:r w:rsidRPr="00935CD3">
        <w:rPr>
          <w:rFonts w:eastAsia="Tahoma" w:cs="Arial"/>
          <w:color w:val="000000"/>
          <w:spacing w:val="2"/>
        </w:rPr>
        <w:t xml:space="preserve"> line management system in the first instance to address the issues</w:t>
      </w:r>
      <w:r w:rsidR="007A6383">
        <w:rPr>
          <w:rFonts w:eastAsia="Tahoma" w:cs="Arial"/>
          <w:color w:val="000000"/>
          <w:spacing w:val="2"/>
        </w:rPr>
        <w:t>.</w:t>
      </w:r>
    </w:p>
    <w:p w14:paraId="56B73E97" w14:textId="77777777" w:rsidR="00935CD3" w:rsidRPr="00247A06" w:rsidRDefault="00935CD3" w:rsidP="001369D6">
      <w:pPr>
        <w:pStyle w:val="Heading2"/>
        <w:rPr>
          <w:b w:val="0"/>
        </w:rPr>
      </w:pPr>
      <w:r w:rsidRPr="00247A06">
        <w:rPr>
          <w:b w:val="0"/>
        </w:rPr>
        <w:lastRenderedPageBreak/>
        <w:t>Temporary adjustment of workload</w:t>
      </w:r>
    </w:p>
    <w:p w14:paraId="4EE90065" w14:textId="77777777" w:rsidR="00E35345" w:rsidRPr="0003235E" w:rsidRDefault="00E5580A" w:rsidP="0003235E">
      <w:pPr>
        <w:pStyle w:val="DHHSbody"/>
      </w:pPr>
      <w:r>
        <w:t>From time to time</w:t>
      </w:r>
      <w:r w:rsidR="00935CD3" w:rsidRPr="0003235E">
        <w:t xml:space="preserve"> there </w:t>
      </w:r>
      <w:r w:rsidR="006C39A4" w:rsidRPr="0003235E">
        <w:t>may be a need</w:t>
      </w:r>
      <w:r w:rsidR="00935CD3" w:rsidRPr="0003235E">
        <w:t xml:space="preserve"> to temporarily reduce a practitioner’s workload </w:t>
      </w:r>
      <w:proofErr w:type="gramStart"/>
      <w:r w:rsidR="00935CD3" w:rsidRPr="0003235E">
        <w:t>as a result of</w:t>
      </w:r>
      <w:proofErr w:type="gramEnd"/>
      <w:r w:rsidR="00935CD3" w:rsidRPr="0003235E">
        <w:t xml:space="preserve"> </w:t>
      </w:r>
      <w:r>
        <w:t xml:space="preserve">the </w:t>
      </w:r>
      <w:r w:rsidR="00F43143">
        <w:t>practitioner’s</w:t>
      </w:r>
      <w:r>
        <w:t xml:space="preserve"> </w:t>
      </w:r>
      <w:r w:rsidR="00935CD3" w:rsidRPr="0003235E">
        <w:t xml:space="preserve">personal circumstances. This can be an effective </w:t>
      </w:r>
      <w:proofErr w:type="gramStart"/>
      <w:r w:rsidR="00935CD3" w:rsidRPr="0003235E">
        <w:t>short term</w:t>
      </w:r>
      <w:proofErr w:type="gramEnd"/>
      <w:r w:rsidR="00935CD3" w:rsidRPr="0003235E">
        <w:t xml:space="preserve"> strategy to support a practitioner in the workplace while they ad</w:t>
      </w:r>
      <w:r w:rsidR="00E031D6" w:rsidRPr="0003235E">
        <w:t>dress an acute issue</w:t>
      </w:r>
      <w:r>
        <w:t xml:space="preserve">. </w:t>
      </w:r>
      <w:r w:rsidR="00E35345" w:rsidRPr="0003235E">
        <w:t>It is recommended that supervisors seek advice from People and Culture w</w:t>
      </w:r>
      <w:r w:rsidR="00935CD3" w:rsidRPr="0003235E">
        <w:t xml:space="preserve">here ongoing personal circumstances have a detrimental effect on a practitioner’s functioning </w:t>
      </w:r>
      <w:r w:rsidR="006C39A4" w:rsidRPr="0003235E">
        <w:t>resulting in an</w:t>
      </w:r>
      <w:r w:rsidR="00935CD3" w:rsidRPr="0003235E">
        <w:t xml:space="preserve"> inabi</w:t>
      </w:r>
      <w:r w:rsidR="00E35345" w:rsidRPr="0003235E">
        <w:t>lity to carry out their duties.</w:t>
      </w:r>
    </w:p>
    <w:p w14:paraId="5BC0FEDA" w14:textId="77777777" w:rsidR="00935CD3" w:rsidRPr="00247A06" w:rsidRDefault="00935CD3" w:rsidP="00EB18AF">
      <w:pPr>
        <w:pStyle w:val="Heading2"/>
        <w:rPr>
          <w:b w:val="0"/>
        </w:rPr>
      </w:pPr>
      <w:r w:rsidRPr="00247A06">
        <w:rPr>
          <w:b w:val="0"/>
        </w:rPr>
        <w:t>Factors affecting workload</w:t>
      </w:r>
    </w:p>
    <w:p w14:paraId="15FDDB12" w14:textId="77777777" w:rsidR="002B51B8" w:rsidRPr="008C3088" w:rsidRDefault="002B51B8" w:rsidP="0003235E">
      <w:pPr>
        <w:pStyle w:val="DHHSbody"/>
        <w:rPr>
          <w:rFonts w:eastAsia="Tahoma"/>
          <w:b/>
        </w:rPr>
      </w:pPr>
      <w:r w:rsidRPr="008C3088">
        <w:t>The following table shows a range of the factors that can contribute to a practitioner’s capacity to manage their workload and suggested strategies for managing them.</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2"/>
      </w:tblGrid>
      <w:tr w:rsidR="00013E09" w:rsidRPr="00DF3A5C" w14:paraId="10F7462C" w14:textId="77777777" w:rsidTr="00A41E2C">
        <w:trPr>
          <w:tblHeader/>
        </w:trPr>
        <w:tc>
          <w:tcPr>
            <w:tcW w:w="2835" w:type="dxa"/>
            <w:shd w:val="clear" w:color="auto" w:fill="auto"/>
          </w:tcPr>
          <w:p w14:paraId="46CA0E44" w14:textId="77777777" w:rsidR="00013E09" w:rsidRPr="00A41E2C" w:rsidRDefault="00013E09" w:rsidP="00A41E2C">
            <w:pPr>
              <w:pStyle w:val="DHHStablecolhead"/>
              <w:spacing w:before="0" w:after="0"/>
            </w:pPr>
            <w:r w:rsidRPr="00A41E2C">
              <w:t>Factor</w:t>
            </w:r>
          </w:p>
        </w:tc>
        <w:tc>
          <w:tcPr>
            <w:tcW w:w="7372" w:type="dxa"/>
          </w:tcPr>
          <w:p w14:paraId="5092208B" w14:textId="77777777" w:rsidR="00013E09" w:rsidRPr="00A41E2C" w:rsidRDefault="00013E09" w:rsidP="00A41E2C">
            <w:pPr>
              <w:pStyle w:val="DHHStablecolhead"/>
              <w:spacing w:before="0" w:after="0"/>
            </w:pPr>
            <w:r w:rsidRPr="00A41E2C">
              <w:t>Potential strategy</w:t>
            </w:r>
          </w:p>
        </w:tc>
      </w:tr>
      <w:tr w:rsidR="00013E09" w14:paraId="4CFE94D9" w14:textId="77777777" w:rsidTr="00A41E2C">
        <w:tc>
          <w:tcPr>
            <w:tcW w:w="2835" w:type="dxa"/>
            <w:shd w:val="clear" w:color="auto" w:fill="auto"/>
          </w:tcPr>
          <w:p w14:paraId="794BB902" w14:textId="0EF0E0A5" w:rsidR="00013E09" w:rsidRPr="0006154F" w:rsidRDefault="00013E09" w:rsidP="00A41E2C">
            <w:pPr>
              <w:pStyle w:val="DHHStabletext"/>
              <w:spacing w:before="0" w:after="0"/>
            </w:pPr>
            <w:r w:rsidRPr="0006154F">
              <w:t>Practitioner c</w:t>
            </w:r>
            <w:r w:rsidR="0006154F">
              <w:t>apability</w:t>
            </w:r>
            <w:r w:rsidRPr="0006154F">
              <w:t xml:space="preserve"> (professional and personal) </w:t>
            </w:r>
          </w:p>
        </w:tc>
        <w:tc>
          <w:tcPr>
            <w:tcW w:w="7372" w:type="dxa"/>
          </w:tcPr>
          <w:p w14:paraId="69057650" w14:textId="77777777" w:rsidR="00013E09" w:rsidRPr="0006154F" w:rsidRDefault="006C39A4" w:rsidP="00A41E2C">
            <w:pPr>
              <w:pStyle w:val="DHHStablebullet"/>
              <w:spacing w:before="0" w:after="0"/>
              <w:rPr>
                <w:rFonts w:eastAsia="Tahoma"/>
              </w:rPr>
            </w:pPr>
            <w:r w:rsidRPr="0006154F">
              <w:rPr>
                <w:rFonts w:eastAsia="Tahoma"/>
              </w:rPr>
              <w:t xml:space="preserve">Establish and maintain an </w:t>
            </w:r>
            <w:r w:rsidR="00E031D6" w:rsidRPr="0006154F">
              <w:rPr>
                <w:rFonts w:eastAsia="Tahoma"/>
              </w:rPr>
              <w:t>up-to-date work plan</w:t>
            </w:r>
          </w:p>
          <w:p w14:paraId="1198CD2E" w14:textId="77777777" w:rsidR="00013E09" w:rsidRPr="0006154F" w:rsidRDefault="00013E09" w:rsidP="00A41E2C">
            <w:pPr>
              <w:pStyle w:val="DHHStablebullet"/>
              <w:spacing w:before="0" w:after="0"/>
              <w:rPr>
                <w:rFonts w:eastAsia="Tahoma"/>
              </w:rPr>
            </w:pPr>
            <w:r w:rsidRPr="0006154F">
              <w:rPr>
                <w:rFonts w:eastAsia="Tahoma"/>
              </w:rPr>
              <w:t>Identify training requirements and develop a training plan</w:t>
            </w:r>
          </w:p>
          <w:p w14:paraId="2E0429B1" w14:textId="77777777" w:rsidR="00013E09" w:rsidRPr="0006154F" w:rsidRDefault="00013E09" w:rsidP="00A41E2C">
            <w:pPr>
              <w:pStyle w:val="DHHStablebullet"/>
              <w:spacing w:before="0" w:after="0"/>
              <w:rPr>
                <w:rFonts w:eastAsia="Tahoma"/>
              </w:rPr>
            </w:pPr>
            <w:r w:rsidRPr="0006154F">
              <w:rPr>
                <w:rFonts w:eastAsia="Tahoma"/>
              </w:rPr>
              <w:t xml:space="preserve">Provide live supervision (for example, </w:t>
            </w:r>
            <w:r w:rsidR="006C39A4" w:rsidRPr="0006154F">
              <w:rPr>
                <w:rFonts w:eastAsia="Tahoma"/>
              </w:rPr>
              <w:t>through joint</w:t>
            </w:r>
            <w:r w:rsidR="00E031D6" w:rsidRPr="0006154F">
              <w:rPr>
                <w:rFonts w:eastAsia="Tahoma"/>
              </w:rPr>
              <w:t xml:space="preserve"> home visit)</w:t>
            </w:r>
          </w:p>
          <w:p w14:paraId="70C025D1" w14:textId="49E6C82C" w:rsidR="00013E09" w:rsidRDefault="00E031D6" w:rsidP="00A41E2C">
            <w:pPr>
              <w:pStyle w:val="DHHStablebullet"/>
              <w:spacing w:before="0" w:after="0"/>
              <w:rPr>
                <w:rFonts w:eastAsia="Tahoma"/>
              </w:rPr>
            </w:pPr>
            <w:r w:rsidRPr="0006154F">
              <w:rPr>
                <w:rFonts w:eastAsia="Tahoma"/>
              </w:rPr>
              <w:t>Co-work the case</w:t>
            </w:r>
          </w:p>
          <w:p w14:paraId="359A1C99" w14:textId="58CED69E" w:rsidR="0006154F" w:rsidRPr="0006154F" w:rsidRDefault="0006154F" w:rsidP="00A41E2C">
            <w:pPr>
              <w:pStyle w:val="DHHStablebullet"/>
              <w:spacing w:before="0" w:after="0"/>
              <w:rPr>
                <w:rFonts w:eastAsia="Tahoma"/>
              </w:rPr>
            </w:pPr>
            <w:r>
              <w:rPr>
                <w:rFonts w:eastAsia="Tahoma"/>
              </w:rPr>
              <w:t xml:space="preserve">Discuss the </w:t>
            </w:r>
            <w:r w:rsidR="00FC6E62">
              <w:rPr>
                <w:rFonts w:eastAsia="Tahoma"/>
              </w:rPr>
              <w:t>practitioner’s</w:t>
            </w:r>
            <w:r>
              <w:rPr>
                <w:rFonts w:eastAsia="Tahoma"/>
              </w:rPr>
              <w:t xml:space="preserve"> wellbeing</w:t>
            </w:r>
            <w:r w:rsidR="00FC6E62">
              <w:rPr>
                <w:rFonts w:eastAsia="Tahoma"/>
              </w:rPr>
              <w:t xml:space="preserve"> and supports </w:t>
            </w:r>
          </w:p>
          <w:p w14:paraId="0AB983D9" w14:textId="77777777" w:rsidR="00013E09" w:rsidRPr="0006154F" w:rsidRDefault="00013E09" w:rsidP="00A41E2C">
            <w:pPr>
              <w:pStyle w:val="DHHStablebullet"/>
              <w:spacing w:before="0" w:after="0"/>
              <w:rPr>
                <w:rFonts w:eastAsia="Tahoma"/>
              </w:rPr>
            </w:pPr>
            <w:r w:rsidRPr="0006154F">
              <w:rPr>
                <w:rFonts w:eastAsia="Tahoma"/>
              </w:rPr>
              <w:t>Refer to</w:t>
            </w:r>
            <w:r w:rsidR="005074EA" w:rsidRPr="0006154F">
              <w:rPr>
                <w:rFonts w:eastAsia="Tahoma"/>
              </w:rPr>
              <w:t xml:space="preserve"> the Employee Wellbeing and Support </w:t>
            </w:r>
            <w:r w:rsidRPr="0006154F">
              <w:rPr>
                <w:rFonts w:eastAsia="Tahoma"/>
              </w:rPr>
              <w:t>Pr</w:t>
            </w:r>
            <w:r w:rsidR="00E031D6" w:rsidRPr="0006154F">
              <w:rPr>
                <w:rFonts w:eastAsia="Tahoma"/>
              </w:rPr>
              <w:t>ogram</w:t>
            </w:r>
          </w:p>
          <w:p w14:paraId="0A03C08D" w14:textId="292FD174" w:rsidR="00136750" w:rsidRPr="0006154F" w:rsidRDefault="00013E09" w:rsidP="00A41E2C">
            <w:pPr>
              <w:pStyle w:val="DHHStablebullet"/>
              <w:spacing w:before="0" w:after="0"/>
              <w:rPr>
                <w:rFonts w:eastAsia="Tahoma"/>
              </w:rPr>
            </w:pPr>
            <w:r w:rsidRPr="0006154F">
              <w:rPr>
                <w:rFonts w:eastAsia="Tahoma"/>
              </w:rPr>
              <w:t>Make reasonable and tempo</w:t>
            </w:r>
            <w:r w:rsidR="00E031D6" w:rsidRPr="0006154F">
              <w:rPr>
                <w:rFonts w:eastAsia="Tahoma"/>
              </w:rPr>
              <w:t>rary adjustment to the workload</w:t>
            </w:r>
          </w:p>
        </w:tc>
      </w:tr>
      <w:tr w:rsidR="00013E09" w14:paraId="5554F6EF" w14:textId="77777777" w:rsidTr="00A41E2C">
        <w:tc>
          <w:tcPr>
            <w:tcW w:w="2835" w:type="dxa"/>
            <w:shd w:val="clear" w:color="auto" w:fill="auto"/>
          </w:tcPr>
          <w:p w14:paraId="5DA12870" w14:textId="77777777" w:rsidR="00013E09" w:rsidRPr="00A41E2C" w:rsidRDefault="002B51B8" w:rsidP="00A41E2C">
            <w:pPr>
              <w:pStyle w:val="DHHStabletext"/>
              <w:spacing w:before="0" w:after="0"/>
            </w:pPr>
            <w:r w:rsidRPr="00A41E2C">
              <w:t>Workload capacity</w:t>
            </w:r>
          </w:p>
        </w:tc>
        <w:tc>
          <w:tcPr>
            <w:tcW w:w="7372" w:type="dxa"/>
          </w:tcPr>
          <w:p w14:paraId="0A994834" w14:textId="77777777" w:rsidR="002B51B8" w:rsidRPr="00A41E2C" w:rsidRDefault="006C39A4" w:rsidP="00A41E2C">
            <w:pPr>
              <w:pStyle w:val="DHHStablebullet"/>
              <w:spacing w:before="0" w:after="0"/>
              <w:rPr>
                <w:rFonts w:eastAsia="Tahoma"/>
              </w:rPr>
            </w:pPr>
            <w:r w:rsidRPr="00A41E2C">
              <w:rPr>
                <w:rFonts w:eastAsia="Tahoma"/>
              </w:rPr>
              <w:t>Establish and maintain</w:t>
            </w:r>
            <w:r w:rsidR="008C3088" w:rsidRPr="00A41E2C">
              <w:rPr>
                <w:rFonts w:eastAsia="Tahoma"/>
              </w:rPr>
              <w:t xml:space="preserve"> an up-to-date work plan</w:t>
            </w:r>
          </w:p>
          <w:p w14:paraId="35739B81" w14:textId="77777777" w:rsidR="002B51B8" w:rsidRPr="00A41E2C" w:rsidRDefault="008C3088" w:rsidP="00A41E2C">
            <w:pPr>
              <w:pStyle w:val="DHHStablebullet"/>
              <w:spacing w:before="0" w:after="0"/>
              <w:rPr>
                <w:rFonts w:eastAsia="Tahoma"/>
              </w:rPr>
            </w:pPr>
            <w:r w:rsidRPr="00A41E2C">
              <w:rPr>
                <w:rFonts w:eastAsia="Tahoma"/>
              </w:rPr>
              <w:t>Co-work the case</w:t>
            </w:r>
          </w:p>
          <w:p w14:paraId="2F216893" w14:textId="77777777" w:rsidR="002B51B8" w:rsidRPr="00A41E2C" w:rsidRDefault="002B51B8" w:rsidP="00A41E2C">
            <w:pPr>
              <w:pStyle w:val="DHHStablebullet"/>
              <w:spacing w:before="0" w:after="0"/>
              <w:rPr>
                <w:rFonts w:eastAsia="Tahoma"/>
              </w:rPr>
            </w:pPr>
            <w:r w:rsidRPr="00A41E2C">
              <w:rPr>
                <w:rFonts w:eastAsia="Tahoma"/>
              </w:rPr>
              <w:t>Provide additional support to the worker (for e</w:t>
            </w:r>
            <w:r w:rsidR="008C3088" w:rsidRPr="00A41E2C">
              <w:rPr>
                <w:rFonts w:eastAsia="Tahoma"/>
              </w:rPr>
              <w:t>xample, administrative support)</w:t>
            </w:r>
          </w:p>
          <w:p w14:paraId="2FB59889" w14:textId="77777777" w:rsidR="002B51B8" w:rsidRPr="00A41E2C" w:rsidRDefault="002B51B8" w:rsidP="00A41E2C">
            <w:pPr>
              <w:pStyle w:val="DHHStablebullet"/>
              <w:spacing w:before="0" w:after="0"/>
              <w:rPr>
                <w:rFonts w:eastAsia="Tahoma"/>
              </w:rPr>
            </w:pPr>
            <w:r w:rsidRPr="00A41E2C">
              <w:rPr>
                <w:rFonts w:eastAsia="Tahoma"/>
              </w:rPr>
              <w:t xml:space="preserve">Consider use of time in </w:t>
            </w:r>
            <w:r w:rsidR="008C3088" w:rsidRPr="00A41E2C">
              <w:rPr>
                <w:rFonts w:eastAsia="Tahoma"/>
              </w:rPr>
              <w:t>lieu and overtime</w:t>
            </w:r>
          </w:p>
          <w:p w14:paraId="64A97E08" w14:textId="2A830E3B" w:rsidR="00136750" w:rsidRPr="00A41E2C" w:rsidRDefault="002B51B8" w:rsidP="00A41E2C">
            <w:pPr>
              <w:pStyle w:val="DHHStablebullet"/>
              <w:spacing w:before="0" w:after="0"/>
            </w:pPr>
            <w:r w:rsidRPr="00A41E2C">
              <w:rPr>
                <w:rFonts w:eastAsia="Tahoma"/>
              </w:rPr>
              <w:t>Review appropriateness of caseload in relation to practitione</w:t>
            </w:r>
            <w:r w:rsidR="008C3088" w:rsidRPr="00A41E2C">
              <w:rPr>
                <w:rFonts w:eastAsia="Tahoma"/>
              </w:rPr>
              <w:t>r’s experience and competencies</w:t>
            </w:r>
          </w:p>
        </w:tc>
      </w:tr>
      <w:tr w:rsidR="00013E09" w14:paraId="7DBD367C" w14:textId="77777777" w:rsidTr="00A41E2C">
        <w:tc>
          <w:tcPr>
            <w:tcW w:w="2835" w:type="dxa"/>
            <w:shd w:val="clear" w:color="auto" w:fill="auto"/>
          </w:tcPr>
          <w:p w14:paraId="37921C98" w14:textId="77777777" w:rsidR="00013E09" w:rsidRPr="00A41E2C" w:rsidRDefault="002B51B8" w:rsidP="00A41E2C">
            <w:pPr>
              <w:pStyle w:val="DHHStabletext"/>
              <w:spacing w:before="0" w:after="0"/>
            </w:pPr>
            <w:r w:rsidRPr="00A41E2C">
              <w:t>Workload complexity</w:t>
            </w:r>
          </w:p>
        </w:tc>
        <w:tc>
          <w:tcPr>
            <w:tcW w:w="7372" w:type="dxa"/>
          </w:tcPr>
          <w:p w14:paraId="7B5FD107" w14:textId="77777777" w:rsidR="002B51B8" w:rsidRPr="00A41E2C" w:rsidRDefault="006C39A4" w:rsidP="00A41E2C">
            <w:pPr>
              <w:pStyle w:val="DHHStablebullet"/>
              <w:spacing w:before="0" w:after="0"/>
              <w:rPr>
                <w:rFonts w:eastAsia="Tahoma"/>
              </w:rPr>
            </w:pPr>
            <w:r w:rsidRPr="00A41E2C">
              <w:rPr>
                <w:rFonts w:eastAsia="Tahoma"/>
              </w:rPr>
              <w:t xml:space="preserve">Establish and maintain </w:t>
            </w:r>
            <w:r w:rsidR="008C3088" w:rsidRPr="00A41E2C">
              <w:rPr>
                <w:rFonts w:eastAsia="Tahoma"/>
              </w:rPr>
              <w:t>an up-to-date work plan</w:t>
            </w:r>
          </w:p>
          <w:p w14:paraId="25E2E345" w14:textId="77777777" w:rsidR="002B51B8" w:rsidRPr="00A41E2C" w:rsidRDefault="008C3088" w:rsidP="00A41E2C">
            <w:pPr>
              <w:pStyle w:val="DHHStablebullet"/>
              <w:spacing w:before="0" w:after="0"/>
              <w:rPr>
                <w:rFonts w:eastAsia="Tahoma"/>
              </w:rPr>
            </w:pPr>
            <w:r w:rsidRPr="00A41E2C">
              <w:rPr>
                <w:rFonts w:eastAsia="Tahoma"/>
              </w:rPr>
              <w:t>Identify training requirements</w:t>
            </w:r>
          </w:p>
          <w:p w14:paraId="0C358CEF" w14:textId="77777777" w:rsidR="002B51B8" w:rsidRPr="00A41E2C" w:rsidRDefault="002B51B8" w:rsidP="00A41E2C">
            <w:pPr>
              <w:pStyle w:val="DHHStablebullet"/>
              <w:spacing w:before="0" w:after="0"/>
              <w:rPr>
                <w:rFonts w:eastAsia="Tahoma"/>
              </w:rPr>
            </w:pPr>
            <w:r w:rsidRPr="00A41E2C">
              <w:rPr>
                <w:rFonts w:eastAsia="Tahoma"/>
              </w:rPr>
              <w:t xml:space="preserve">Provide live supervision (for example, </w:t>
            </w:r>
            <w:r w:rsidR="006C39A4" w:rsidRPr="00A41E2C">
              <w:rPr>
                <w:rFonts w:eastAsia="Tahoma"/>
              </w:rPr>
              <w:t>though joint</w:t>
            </w:r>
            <w:r w:rsidR="008C3088" w:rsidRPr="00A41E2C">
              <w:rPr>
                <w:rFonts w:eastAsia="Tahoma"/>
              </w:rPr>
              <w:t xml:space="preserve"> home visit)</w:t>
            </w:r>
          </w:p>
          <w:p w14:paraId="7D6C6F82" w14:textId="77777777" w:rsidR="002B51B8" w:rsidRPr="00A41E2C" w:rsidRDefault="008C3088" w:rsidP="00A41E2C">
            <w:pPr>
              <w:pStyle w:val="DHHStablebullet"/>
              <w:spacing w:before="0" w:after="0"/>
              <w:rPr>
                <w:rFonts w:eastAsia="Tahoma"/>
              </w:rPr>
            </w:pPr>
            <w:r w:rsidRPr="00A41E2C">
              <w:rPr>
                <w:rFonts w:eastAsia="Tahoma"/>
              </w:rPr>
              <w:t>Co-work the case</w:t>
            </w:r>
          </w:p>
          <w:p w14:paraId="43FEC164" w14:textId="77777777" w:rsidR="002B51B8" w:rsidRPr="00A41E2C" w:rsidRDefault="002B51B8" w:rsidP="00A41E2C">
            <w:pPr>
              <w:pStyle w:val="DHHStablebullet"/>
              <w:spacing w:before="0" w:after="0"/>
              <w:rPr>
                <w:rFonts w:eastAsia="Tahoma"/>
              </w:rPr>
            </w:pPr>
            <w:r w:rsidRPr="00A41E2C">
              <w:rPr>
                <w:rFonts w:eastAsia="Tahoma"/>
              </w:rPr>
              <w:t>Review the appropriateness of the caseload in relation to the worke</w:t>
            </w:r>
            <w:r w:rsidR="008C3088" w:rsidRPr="00A41E2C">
              <w:rPr>
                <w:rFonts w:eastAsia="Tahoma"/>
              </w:rPr>
              <w:t>r’s experience and competencies</w:t>
            </w:r>
          </w:p>
          <w:p w14:paraId="1F4DFA36" w14:textId="77777777" w:rsidR="002B51B8" w:rsidRPr="00A41E2C" w:rsidRDefault="002B51B8" w:rsidP="00A41E2C">
            <w:pPr>
              <w:pStyle w:val="DHHStablebullet"/>
              <w:spacing w:before="0" w:after="0"/>
              <w:rPr>
                <w:rFonts w:eastAsia="Tahoma"/>
              </w:rPr>
            </w:pPr>
            <w:r w:rsidRPr="00A41E2C">
              <w:rPr>
                <w:rFonts w:eastAsia="Tahoma"/>
              </w:rPr>
              <w:t xml:space="preserve">Consider the number </w:t>
            </w:r>
            <w:r w:rsidR="008C3088" w:rsidRPr="00A41E2C">
              <w:rPr>
                <w:rFonts w:eastAsia="Tahoma"/>
              </w:rPr>
              <w:t>of clients on existing caseload</w:t>
            </w:r>
          </w:p>
          <w:p w14:paraId="0D84BE24" w14:textId="77777777" w:rsidR="002B51B8" w:rsidRPr="00A41E2C" w:rsidRDefault="002B51B8" w:rsidP="00A41E2C">
            <w:pPr>
              <w:pStyle w:val="DHHStablebullet"/>
              <w:spacing w:before="0" w:after="0"/>
              <w:rPr>
                <w:rFonts w:eastAsia="Tahoma"/>
              </w:rPr>
            </w:pPr>
            <w:r w:rsidRPr="00A41E2C">
              <w:rPr>
                <w:rFonts w:eastAsia="Tahoma"/>
              </w:rPr>
              <w:t>Review the mix o</w:t>
            </w:r>
            <w:r w:rsidR="008C3088" w:rsidRPr="00A41E2C">
              <w:rPr>
                <w:rFonts w:eastAsia="Tahoma"/>
              </w:rPr>
              <w:t>f clients and tasks on caseload</w:t>
            </w:r>
          </w:p>
          <w:p w14:paraId="387F1A5C" w14:textId="77777777" w:rsidR="002B51B8" w:rsidRPr="00A41E2C" w:rsidRDefault="002B51B8" w:rsidP="00A41E2C">
            <w:pPr>
              <w:pStyle w:val="DHHStablebullet"/>
              <w:spacing w:before="0" w:after="0"/>
              <w:rPr>
                <w:rFonts w:eastAsia="Tahoma"/>
              </w:rPr>
            </w:pPr>
            <w:r w:rsidRPr="00A41E2C">
              <w:rPr>
                <w:rFonts w:eastAsia="Tahoma"/>
              </w:rPr>
              <w:t>Use case support workers t</w:t>
            </w:r>
            <w:r w:rsidR="008C3088" w:rsidRPr="00A41E2C">
              <w:rPr>
                <w:rFonts w:eastAsia="Tahoma"/>
              </w:rPr>
              <w:t>o assist with appropriate tasks</w:t>
            </w:r>
          </w:p>
          <w:p w14:paraId="7F23067F" w14:textId="77777777" w:rsidR="00013E09" w:rsidRPr="00A41E2C" w:rsidRDefault="002B51B8" w:rsidP="00A41E2C">
            <w:pPr>
              <w:pStyle w:val="DHHStablebullet"/>
              <w:spacing w:before="0" w:after="0"/>
            </w:pPr>
            <w:r w:rsidRPr="00A41E2C">
              <w:rPr>
                <w:rFonts w:eastAsia="Tahoma"/>
                <w:spacing w:val="-4"/>
              </w:rPr>
              <w:t>Use specialist consultation services appropriate to cases (mental healt</w:t>
            </w:r>
            <w:r w:rsidR="008C3088" w:rsidRPr="00A41E2C">
              <w:rPr>
                <w:rFonts w:eastAsia="Tahoma"/>
                <w:spacing w:val="-4"/>
              </w:rPr>
              <w:t>h, drug and alcohol)</w:t>
            </w:r>
          </w:p>
        </w:tc>
      </w:tr>
      <w:tr w:rsidR="00013E09" w14:paraId="709B4256" w14:textId="77777777" w:rsidTr="00A41E2C">
        <w:tc>
          <w:tcPr>
            <w:tcW w:w="2835" w:type="dxa"/>
            <w:shd w:val="clear" w:color="auto" w:fill="auto"/>
          </w:tcPr>
          <w:p w14:paraId="5EE03918" w14:textId="77777777" w:rsidR="00013E09" w:rsidRPr="00A41E2C" w:rsidRDefault="002B51B8" w:rsidP="00A41E2C">
            <w:pPr>
              <w:pStyle w:val="DHHStabletext6pt"/>
              <w:spacing w:before="0" w:after="0"/>
            </w:pPr>
            <w:r w:rsidRPr="00A41E2C">
              <w:t>Personal circumstances</w:t>
            </w:r>
          </w:p>
        </w:tc>
        <w:tc>
          <w:tcPr>
            <w:tcW w:w="7372" w:type="dxa"/>
          </w:tcPr>
          <w:p w14:paraId="5AFB25E8" w14:textId="77777777" w:rsidR="002B51B8" w:rsidRPr="00A41E2C" w:rsidRDefault="006C39A4" w:rsidP="00A41E2C">
            <w:pPr>
              <w:pStyle w:val="DHHStablebullet"/>
              <w:spacing w:before="0" w:after="0"/>
              <w:rPr>
                <w:rFonts w:eastAsia="Tahoma"/>
              </w:rPr>
            </w:pPr>
            <w:r w:rsidRPr="00A41E2C">
              <w:rPr>
                <w:rFonts w:eastAsia="Tahoma"/>
              </w:rPr>
              <w:t>Establish and maintain</w:t>
            </w:r>
            <w:r w:rsidR="008C3088" w:rsidRPr="00A41E2C">
              <w:rPr>
                <w:rFonts w:eastAsia="Tahoma"/>
              </w:rPr>
              <w:t xml:space="preserve"> an up-to-date work plan</w:t>
            </w:r>
          </w:p>
          <w:p w14:paraId="6FEA2D77" w14:textId="77777777" w:rsidR="002B51B8" w:rsidRPr="00A41E2C" w:rsidRDefault="002B51B8" w:rsidP="00A41E2C">
            <w:pPr>
              <w:pStyle w:val="DHHStablebullet"/>
              <w:spacing w:before="0" w:after="0"/>
              <w:rPr>
                <w:rFonts w:eastAsia="Tahoma"/>
              </w:rPr>
            </w:pPr>
            <w:r w:rsidRPr="00A41E2C">
              <w:rPr>
                <w:rFonts w:eastAsia="Tahoma"/>
              </w:rPr>
              <w:t xml:space="preserve">Consider flexible </w:t>
            </w:r>
            <w:r w:rsidR="008C3088" w:rsidRPr="00A41E2C">
              <w:rPr>
                <w:rFonts w:eastAsia="Tahoma"/>
              </w:rPr>
              <w:t>working hours</w:t>
            </w:r>
          </w:p>
          <w:p w14:paraId="05DF158F" w14:textId="77777777" w:rsidR="002B51B8" w:rsidRPr="00A41E2C" w:rsidRDefault="002B51B8" w:rsidP="00A41E2C">
            <w:pPr>
              <w:pStyle w:val="DHHStablebullet"/>
              <w:spacing w:before="0" w:after="0"/>
              <w:rPr>
                <w:rFonts w:eastAsia="Tahoma"/>
              </w:rPr>
            </w:pPr>
            <w:r w:rsidRPr="00A41E2C">
              <w:rPr>
                <w:rFonts w:eastAsia="Tahoma"/>
              </w:rPr>
              <w:t>Consider use of time in lieu,</w:t>
            </w:r>
            <w:r w:rsidR="008C3088" w:rsidRPr="00A41E2C">
              <w:rPr>
                <w:rFonts w:eastAsia="Tahoma"/>
              </w:rPr>
              <w:t xml:space="preserve"> overtime, and recreation leave</w:t>
            </w:r>
          </w:p>
          <w:p w14:paraId="5A4AD502" w14:textId="0262E7FB" w:rsidR="002B51B8" w:rsidRPr="00A41E2C" w:rsidRDefault="005848C9" w:rsidP="00A41E2C">
            <w:pPr>
              <w:pStyle w:val="DHHStablebullet"/>
              <w:spacing w:before="0" w:after="0"/>
              <w:rPr>
                <w:rFonts w:eastAsia="Tahoma"/>
              </w:rPr>
            </w:pPr>
            <w:r w:rsidRPr="00A41E2C">
              <w:rPr>
                <w:rFonts w:eastAsia="Tahoma"/>
              </w:rPr>
              <w:t>Inform the practitioner</w:t>
            </w:r>
            <w:r w:rsidR="002B51B8" w:rsidRPr="00A41E2C">
              <w:rPr>
                <w:rFonts w:eastAsia="Tahoma"/>
              </w:rPr>
              <w:t xml:space="preserve"> of the departmental </w:t>
            </w:r>
            <w:r w:rsidR="005074EA" w:rsidRPr="00A41E2C">
              <w:rPr>
                <w:rFonts w:eastAsia="Tahoma"/>
              </w:rPr>
              <w:t xml:space="preserve">Employee Wellbeing and Support </w:t>
            </w:r>
            <w:r w:rsidR="008C3088" w:rsidRPr="00A41E2C">
              <w:rPr>
                <w:rFonts w:eastAsia="Tahoma"/>
              </w:rPr>
              <w:t>Program</w:t>
            </w:r>
          </w:p>
          <w:p w14:paraId="03DA8133" w14:textId="77777777" w:rsidR="00013E09" w:rsidRPr="00A41E2C" w:rsidRDefault="002B51B8" w:rsidP="00A41E2C">
            <w:pPr>
              <w:pStyle w:val="DHHStablebullet"/>
              <w:spacing w:before="0" w:after="0"/>
            </w:pPr>
            <w:r w:rsidRPr="00A41E2C">
              <w:rPr>
                <w:rFonts w:eastAsia="Tahoma"/>
              </w:rPr>
              <w:t>Make reasonable and tempo</w:t>
            </w:r>
            <w:r w:rsidR="008C3088" w:rsidRPr="00A41E2C">
              <w:rPr>
                <w:rFonts w:eastAsia="Tahoma"/>
              </w:rPr>
              <w:t>rary adjustment to the workload</w:t>
            </w:r>
          </w:p>
        </w:tc>
      </w:tr>
    </w:tbl>
    <w:p w14:paraId="0F4CE205" w14:textId="77777777" w:rsidR="00935CD3" w:rsidRPr="00247A06" w:rsidRDefault="00935CD3" w:rsidP="00935CD3">
      <w:pPr>
        <w:pStyle w:val="Heading2"/>
        <w:rPr>
          <w:b w:val="0"/>
        </w:rPr>
      </w:pPr>
      <w:r w:rsidRPr="00247A06">
        <w:rPr>
          <w:b w:val="0"/>
        </w:rPr>
        <w:t xml:space="preserve">Workload </w:t>
      </w:r>
      <w:r w:rsidR="00456DBF" w:rsidRPr="00247A06">
        <w:rPr>
          <w:b w:val="0"/>
        </w:rPr>
        <w:t>review and monitoring</w:t>
      </w:r>
      <w:r w:rsidRPr="00247A06">
        <w:rPr>
          <w:b w:val="0"/>
        </w:rPr>
        <w:t xml:space="preserve"> panels</w:t>
      </w:r>
    </w:p>
    <w:p w14:paraId="13878833" w14:textId="1E3E889A" w:rsidR="00C9375C" w:rsidRDefault="00935CD3" w:rsidP="00935CD3">
      <w:pPr>
        <w:pStyle w:val="DHHSbody"/>
        <w:rPr>
          <w:rFonts w:eastAsia="Tahoma" w:cs="Arial"/>
          <w:color w:val="000000"/>
          <w:spacing w:val="3"/>
        </w:rPr>
      </w:pPr>
      <w:r w:rsidRPr="00935CD3">
        <w:rPr>
          <w:rFonts w:eastAsia="Tahoma" w:cs="Arial"/>
          <w:color w:val="000000"/>
          <w:spacing w:val="3"/>
        </w:rPr>
        <w:t xml:space="preserve">Each </w:t>
      </w:r>
      <w:r w:rsidR="008A5533">
        <w:rPr>
          <w:rFonts w:eastAsia="Tahoma" w:cs="Arial"/>
          <w:color w:val="000000"/>
          <w:spacing w:val="3"/>
        </w:rPr>
        <w:t>A</w:t>
      </w:r>
      <w:r w:rsidRPr="00935CD3">
        <w:rPr>
          <w:rFonts w:eastAsia="Tahoma" w:cs="Arial"/>
          <w:color w:val="000000"/>
          <w:spacing w:val="3"/>
        </w:rPr>
        <w:t xml:space="preserve">rea has an </w:t>
      </w:r>
      <w:r w:rsidR="00C9375C">
        <w:rPr>
          <w:rFonts w:eastAsia="Tahoma" w:cs="Arial"/>
          <w:color w:val="000000"/>
          <w:spacing w:val="3"/>
        </w:rPr>
        <w:t>A</w:t>
      </w:r>
      <w:r w:rsidRPr="00935CD3">
        <w:rPr>
          <w:rFonts w:eastAsia="Tahoma" w:cs="Arial"/>
          <w:color w:val="000000"/>
          <w:spacing w:val="3"/>
        </w:rPr>
        <w:t xml:space="preserve">rea </w:t>
      </w:r>
      <w:r w:rsidR="00C9375C">
        <w:rPr>
          <w:rFonts w:eastAsia="Tahoma" w:cs="Arial"/>
          <w:color w:val="000000"/>
          <w:spacing w:val="3"/>
        </w:rPr>
        <w:t>C</w:t>
      </w:r>
      <w:r w:rsidRPr="00935CD3">
        <w:rPr>
          <w:rFonts w:eastAsia="Tahoma" w:cs="Arial"/>
          <w:color w:val="000000"/>
          <w:spacing w:val="3"/>
        </w:rPr>
        <w:t xml:space="preserve">hild </w:t>
      </w:r>
      <w:r w:rsidR="00C9375C">
        <w:rPr>
          <w:rFonts w:eastAsia="Tahoma" w:cs="Arial"/>
          <w:color w:val="000000"/>
          <w:spacing w:val="3"/>
        </w:rPr>
        <w:t>P</w:t>
      </w:r>
      <w:r w:rsidRPr="00935CD3">
        <w:rPr>
          <w:rFonts w:eastAsia="Tahoma" w:cs="Arial"/>
          <w:color w:val="000000"/>
          <w:spacing w:val="3"/>
        </w:rPr>
        <w:t xml:space="preserve">rotection </w:t>
      </w:r>
      <w:r w:rsidR="00C9375C">
        <w:rPr>
          <w:rFonts w:eastAsia="Tahoma" w:cs="Arial"/>
          <w:color w:val="000000"/>
          <w:spacing w:val="3"/>
        </w:rPr>
        <w:t>W</w:t>
      </w:r>
      <w:r w:rsidRPr="00935CD3">
        <w:rPr>
          <w:rFonts w:eastAsia="Tahoma" w:cs="Arial"/>
          <w:color w:val="000000"/>
          <w:spacing w:val="3"/>
        </w:rPr>
        <w:t xml:space="preserve">orkload </w:t>
      </w:r>
      <w:r w:rsidR="00C9375C">
        <w:rPr>
          <w:rFonts w:eastAsia="Tahoma" w:cs="Arial"/>
          <w:color w:val="000000"/>
          <w:spacing w:val="3"/>
        </w:rPr>
        <w:t>R</w:t>
      </w:r>
      <w:r w:rsidR="000A26FE" w:rsidRPr="00935CD3">
        <w:rPr>
          <w:rFonts w:eastAsia="Tahoma" w:cs="Arial"/>
          <w:color w:val="000000"/>
          <w:spacing w:val="3"/>
        </w:rPr>
        <w:t xml:space="preserve">eview </w:t>
      </w:r>
      <w:r w:rsidR="00456DBF">
        <w:rPr>
          <w:rFonts w:eastAsia="Tahoma" w:cs="Arial"/>
          <w:color w:val="000000"/>
          <w:spacing w:val="3"/>
        </w:rPr>
        <w:t xml:space="preserve">and </w:t>
      </w:r>
      <w:r w:rsidR="00C9375C">
        <w:rPr>
          <w:rFonts w:eastAsia="Tahoma" w:cs="Arial"/>
          <w:color w:val="000000"/>
          <w:spacing w:val="3"/>
        </w:rPr>
        <w:t>Mo</w:t>
      </w:r>
      <w:r w:rsidRPr="00935CD3">
        <w:rPr>
          <w:rFonts w:eastAsia="Tahoma" w:cs="Arial"/>
          <w:color w:val="000000"/>
          <w:spacing w:val="3"/>
        </w:rPr>
        <w:t xml:space="preserve">nitoring </w:t>
      </w:r>
      <w:r w:rsidR="00C9375C">
        <w:rPr>
          <w:rFonts w:eastAsia="Tahoma" w:cs="Arial"/>
          <w:color w:val="000000"/>
          <w:spacing w:val="3"/>
        </w:rPr>
        <w:t>P</w:t>
      </w:r>
      <w:r w:rsidRPr="00935CD3">
        <w:rPr>
          <w:rFonts w:eastAsia="Tahoma" w:cs="Arial"/>
          <w:color w:val="000000"/>
          <w:spacing w:val="3"/>
        </w:rPr>
        <w:t>anel</w:t>
      </w:r>
      <w:r w:rsidR="00C9375C">
        <w:rPr>
          <w:rFonts w:eastAsia="Tahoma" w:cs="Arial"/>
          <w:color w:val="000000"/>
          <w:spacing w:val="3"/>
        </w:rPr>
        <w:t xml:space="preserve"> (WRMP)</w:t>
      </w:r>
      <w:r w:rsidRPr="00935CD3">
        <w:rPr>
          <w:rFonts w:eastAsia="Tahoma" w:cs="Arial"/>
          <w:color w:val="000000"/>
          <w:spacing w:val="3"/>
        </w:rPr>
        <w:t xml:space="preserve">. Management, </w:t>
      </w:r>
      <w:r w:rsidR="00C9375C">
        <w:rPr>
          <w:rFonts w:eastAsia="Tahoma" w:cs="Arial"/>
          <w:color w:val="000000"/>
          <w:spacing w:val="3"/>
        </w:rPr>
        <w:t>employees, the union</w:t>
      </w:r>
      <w:r w:rsidRPr="00935CD3">
        <w:rPr>
          <w:rFonts w:eastAsia="Tahoma" w:cs="Arial"/>
          <w:color w:val="000000"/>
          <w:spacing w:val="3"/>
        </w:rPr>
        <w:t xml:space="preserve"> and occupational health and safety </w:t>
      </w:r>
      <w:r w:rsidR="005848C9">
        <w:rPr>
          <w:rFonts w:eastAsia="Tahoma" w:cs="Arial"/>
          <w:color w:val="000000"/>
          <w:spacing w:val="3"/>
        </w:rPr>
        <w:t xml:space="preserve">team members </w:t>
      </w:r>
      <w:r w:rsidRPr="00935CD3">
        <w:rPr>
          <w:rFonts w:eastAsia="Tahoma" w:cs="Arial"/>
          <w:color w:val="000000"/>
          <w:spacing w:val="3"/>
        </w:rPr>
        <w:t>are represented on these panels. The panels are responsible for reviewing and reporting on the demand and distribution of work</w:t>
      </w:r>
      <w:r w:rsidR="00C9375C">
        <w:rPr>
          <w:rFonts w:eastAsia="Tahoma" w:cs="Arial"/>
          <w:color w:val="000000"/>
          <w:spacing w:val="3"/>
        </w:rPr>
        <w:t xml:space="preserve"> across the Area and the work streams</w:t>
      </w:r>
      <w:r w:rsidRPr="00935CD3">
        <w:rPr>
          <w:rFonts w:eastAsia="Tahoma" w:cs="Arial"/>
          <w:color w:val="000000"/>
          <w:spacing w:val="3"/>
        </w:rPr>
        <w:t xml:space="preserve">. </w:t>
      </w:r>
      <w:r w:rsidR="00C9375C">
        <w:rPr>
          <w:rFonts w:eastAsia="Tahoma" w:cs="Arial"/>
          <w:color w:val="000000"/>
          <w:spacing w:val="3"/>
        </w:rPr>
        <w:t>Individual workload issues are not reviewed by the panels.  Supervision is the primary forum for practi</w:t>
      </w:r>
      <w:r w:rsidR="005074EA">
        <w:rPr>
          <w:rFonts w:eastAsia="Tahoma" w:cs="Arial"/>
          <w:color w:val="000000"/>
          <w:spacing w:val="3"/>
        </w:rPr>
        <w:t>ti</w:t>
      </w:r>
      <w:r w:rsidR="00C9375C">
        <w:rPr>
          <w:rFonts w:eastAsia="Tahoma" w:cs="Arial"/>
          <w:color w:val="000000"/>
          <w:spacing w:val="3"/>
        </w:rPr>
        <w:t>oners and supervisors to discuss and address workload issues and concerns.</w:t>
      </w:r>
    </w:p>
    <w:p w14:paraId="5180D0B6" w14:textId="77777777" w:rsidR="00DE7F7C" w:rsidRPr="001B2680" w:rsidRDefault="00DE7F7C" w:rsidP="00DE7F7C">
      <w:pPr>
        <w:pStyle w:val="Heading2"/>
        <w:rPr>
          <w:b w:val="0"/>
        </w:rPr>
      </w:pPr>
      <w:r w:rsidRPr="001B2680">
        <w:rPr>
          <w:b w:val="0"/>
        </w:rPr>
        <w:t>Further information</w:t>
      </w:r>
    </w:p>
    <w:p w14:paraId="55D3BB32" w14:textId="77777777" w:rsidR="00DE7F7C" w:rsidRDefault="00DE7F7C" w:rsidP="00DE7F7C">
      <w:pPr>
        <w:pStyle w:val="DHHSbody"/>
        <w:rPr>
          <w:rFonts w:eastAsia="Tahoma" w:cs="Arial"/>
          <w:color w:val="000000"/>
          <w:spacing w:val="3"/>
        </w:rPr>
      </w:pPr>
      <w:r>
        <w:rPr>
          <w:rFonts w:eastAsia="Tahoma" w:cs="Arial"/>
          <w:color w:val="000000"/>
          <w:spacing w:val="3"/>
        </w:rPr>
        <w:t xml:space="preserve">The </w:t>
      </w:r>
      <w:r w:rsidR="00A64981" w:rsidRPr="00A64981">
        <w:rPr>
          <w:rFonts w:eastAsia="Tahoma" w:cs="Arial"/>
          <w:i/>
          <w:color w:val="000000"/>
          <w:spacing w:val="3"/>
        </w:rPr>
        <w:t>Individual w</w:t>
      </w:r>
      <w:r w:rsidRPr="00A64981">
        <w:rPr>
          <w:rFonts w:eastAsia="Tahoma" w:cs="Arial"/>
          <w:i/>
          <w:color w:val="000000"/>
          <w:spacing w:val="3"/>
        </w:rPr>
        <w:t>orkload</w:t>
      </w:r>
      <w:r w:rsidRPr="00A47399">
        <w:rPr>
          <w:rFonts w:eastAsia="Tahoma" w:cs="Arial"/>
          <w:i/>
          <w:color w:val="000000"/>
          <w:spacing w:val="3"/>
        </w:rPr>
        <w:t xml:space="preserve"> review process for child protection practitioners</w:t>
      </w:r>
      <w:r>
        <w:rPr>
          <w:rFonts w:eastAsia="Tahoma" w:cs="Arial"/>
          <w:color w:val="000000"/>
          <w:spacing w:val="3"/>
        </w:rPr>
        <w:t xml:space="preserve"> sets out the escalation </w:t>
      </w:r>
      <w:r w:rsidR="00A47399">
        <w:rPr>
          <w:rFonts w:eastAsia="Tahoma" w:cs="Arial"/>
          <w:color w:val="000000"/>
          <w:spacing w:val="3"/>
        </w:rPr>
        <w:t>process</w:t>
      </w:r>
      <w:r>
        <w:rPr>
          <w:rFonts w:eastAsia="Tahoma" w:cs="Arial"/>
          <w:color w:val="000000"/>
          <w:spacing w:val="3"/>
        </w:rPr>
        <w:t xml:space="preserve"> for practi</w:t>
      </w:r>
      <w:r w:rsidR="005074EA">
        <w:rPr>
          <w:rFonts w:eastAsia="Tahoma" w:cs="Arial"/>
          <w:color w:val="000000"/>
          <w:spacing w:val="3"/>
        </w:rPr>
        <w:t>ti</w:t>
      </w:r>
      <w:r>
        <w:rPr>
          <w:rFonts w:eastAsia="Tahoma" w:cs="Arial"/>
          <w:color w:val="000000"/>
          <w:spacing w:val="3"/>
        </w:rPr>
        <w:t>oners and supervisors in instances where matters are not resolved thought the regular supervision process.</w:t>
      </w:r>
    </w:p>
    <w:p w14:paraId="36C14847" w14:textId="77777777" w:rsidR="002802E3" w:rsidRPr="00071163" w:rsidRDefault="002802E3" w:rsidP="00F3122E">
      <w:pPr>
        <w:pStyle w:val="DHHSbody"/>
        <w:rPr>
          <w:i/>
          <w:color w:val="D50032"/>
        </w:rPr>
      </w:pPr>
    </w:p>
    <w:sectPr w:rsidR="002802E3" w:rsidRPr="00071163" w:rsidSect="003A0AA6">
      <w:type w:val="continuous"/>
      <w:pgSz w:w="11906" w:h="16838" w:code="9"/>
      <w:pgMar w:top="426" w:right="964" w:bottom="1021" w:left="1021" w:header="567" w:footer="472"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BE900" w14:textId="77777777" w:rsidR="00CA2573" w:rsidRDefault="00CA2573">
      <w:r>
        <w:separator/>
      </w:r>
    </w:p>
  </w:endnote>
  <w:endnote w:type="continuationSeparator" w:id="0">
    <w:p w14:paraId="293A5155" w14:textId="77777777" w:rsidR="00CA2573" w:rsidRDefault="00CA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55F4" w14:textId="3BB8CFE0" w:rsidR="00775056" w:rsidRPr="00A11421" w:rsidRDefault="00775056" w:rsidP="00775056">
    <w:pPr>
      <w:pStyle w:val="DHHSfooter"/>
    </w:pPr>
    <w:r>
      <w:t xml:space="preserve">Supervision and principles of work allocation </w:t>
    </w:r>
    <w:r w:rsidR="00A41E2C">
      <w:t>March</w:t>
    </w:r>
    <w:r>
      <w:t xml:space="preserve"> 2019</w:t>
    </w:r>
    <w:r w:rsidRPr="00A11421">
      <w:tab/>
    </w:r>
    <w:r w:rsidRPr="00A11421">
      <w:fldChar w:fldCharType="begin"/>
    </w:r>
    <w:r w:rsidRPr="00A11421">
      <w:instrText xml:space="preserve"> PAGE </w:instrText>
    </w:r>
    <w:r w:rsidRPr="00A11421">
      <w:fldChar w:fldCharType="separate"/>
    </w:r>
    <w:r w:rsidR="003A0AA6">
      <w:rPr>
        <w:noProof/>
      </w:rPr>
      <w:t>1</w:t>
    </w:r>
    <w:r w:rsidRPr="00A11421">
      <w:fldChar w:fldCharType="end"/>
    </w:r>
  </w:p>
  <w:p w14:paraId="049339F3" w14:textId="77777777" w:rsidR="009D70A4" w:rsidRPr="00F65AA9" w:rsidRDefault="00567E95" w:rsidP="0051568D">
    <w:pPr>
      <w:pStyle w:val="DHHSfooter"/>
    </w:pPr>
    <w:r>
      <w:rPr>
        <w:noProof/>
        <w:lang w:eastAsia="en-AU"/>
      </w:rPr>
      <w:drawing>
        <wp:anchor distT="0" distB="0" distL="114300" distR="114300" simplePos="0" relativeHeight="251657728" behindDoc="0" locked="1" layoutInCell="0" allowOverlap="1" wp14:anchorId="44FA3474" wp14:editId="4DBB15CA">
          <wp:simplePos x="0" y="0"/>
          <wp:positionH relativeFrom="page">
            <wp:posOffset>0</wp:posOffset>
          </wp:positionH>
          <wp:positionV relativeFrom="page">
            <wp:posOffset>10147300</wp:posOffset>
          </wp:positionV>
          <wp:extent cx="7562850" cy="543560"/>
          <wp:effectExtent l="0" t="0" r="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543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7A892" w14:textId="3C0BA3AF" w:rsidR="009D70A4" w:rsidRPr="00A11421" w:rsidRDefault="008C3088" w:rsidP="0051568D">
    <w:pPr>
      <w:pStyle w:val="DHHSfooter"/>
    </w:pPr>
    <w:r>
      <w:t>Supervision and</w:t>
    </w:r>
    <w:r w:rsidR="00EB18AF">
      <w:t xml:space="preserve"> principles of work allocation</w:t>
    </w:r>
    <w:r w:rsidR="00E5580A">
      <w:t xml:space="preserve"> </w:t>
    </w:r>
    <w:r w:rsidR="00C23D8B">
      <w:t>March</w:t>
    </w:r>
    <w:r w:rsidR="00E5580A">
      <w:t xml:space="preserve"> 2019</w:t>
    </w:r>
    <w:r w:rsidR="009D70A4" w:rsidRPr="00A11421">
      <w:tab/>
    </w:r>
    <w:r w:rsidR="009D70A4" w:rsidRPr="00A11421">
      <w:fldChar w:fldCharType="begin"/>
    </w:r>
    <w:r w:rsidR="009D70A4" w:rsidRPr="00A11421">
      <w:instrText xml:space="preserve"> PAGE </w:instrText>
    </w:r>
    <w:r w:rsidR="009D70A4" w:rsidRPr="00A11421">
      <w:fldChar w:fldCharType="separate"/>
    </w:r>
    <w:r w:rsidR="003A0AA6">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0F3E4" w14:textId="77777777" w:rsidR="00CA2573" w:rsidRDefault="00CA2573" w:rsidP="002862F1">
      <w:pPr>
        <w:spacing w:before="120"/>
      </w:pPr>
      <w:r>
        <w:separator/>
      </w:r>
    </w:p>
  </w:footnote>
  <w:footnote w:type="continuationSeparator" w:id="0">
    <w:p w14:paraId="0B1CF540" w14:textId="77777777" w:rsidR="00CA2573" w:rsidRDefault="00CA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92FD" w14:textId="350898A3" w:rsidR="0062356A" w:rsidRDefault="00623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2484A" w14:textId="25D47132"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9278" w14:textId="167C2E4A" w:rsidR="0062356A" w:rsidRDefault="00623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4363BEB"/>
    <w:multiLevelType w:val="multilevel"/>
    <w:tmpl w:val="BBE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D43DB"/>
    <w:multiLevelType w:val="multilevel"/>
    <w:tmpl w:val="4B4E7622"/>
    <w:numStyleLink w:val="ZZNumbers"/>
  </w:abstractNum>
  <w:abstractNum w:abstractNumId="4" w15:restartNumberingAfterBreak="0">
    <w:nsid w:val="15436B1A"/>
    <w:multiLevelType w:val="hybridMultilevel"/>
    <w:tmpl w:val="177C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62208"/>
    <w:multiLevelType w:val="multilevel"/>
    <w:tmpl w:val="849E1396"/>
    <w:lvl w:ilvl="0">
      <w:start w:val="1"/>
      <w:numFmt w:val="bullet"/>
      <w:lvlText w:val="·"/>
      <w:lvlJc w:val="left"/>
      <w:pPr>
        <w:tabs>
          <w:tab w:val="left" w:pos="216"/>
        </w:tabs>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B30AA"/>
    <w:multiLevelType w:val="multilevel"/>
    <w:tmpl w:val="4D924982"/>
    <w:lvl w:ilvl="0">
      <w:start w:val="1"/>
      <w:numFmt w:val="decimal"/>
      <w:lvlText w:val="%1)"/>
      <w:lvlJc w:val="left"/>
      <w:pPr>
        <w:tabs>
          <w:tab w:val="left" w:pos="216"/>
        </w:tabs>
      </w:pPr>
      <w:rPr>
        <w:rFonts w:ascii="Tahoma" w:eastAsia="Tahoma" w:hAnsi="Tahoma"/>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BA0061"/>
    <w:multiLevelType w:val="multilevel"/>
    <w:tmpl w:val="F30223A8"/>
    <w:lvl w:ilvl="0">
      <w:start w:val="1"/>
      <w:numFmt w:val="bullet"/>
      <w:lvlText w:val="·"/>
      <w:lvlJc w:val="left"/>
      <w:pPr>
        <w:tabs>
          <w:tab w:val="left" w:pos="216"/>
        </w:tabs>
      </w:pPr>
      <w:rPr>
        <w:rFonts w:ascii="Symbol" w:eastAsia="Symbol" w:hAnsi="Symbol"/>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8523E8D"/>
    <w:multiLevelType w:val="multilevel"/>
    <w:tmpl w:val="D412459C"/>
    <w:lvl w:ilvl="0">
      <w:start w:val="1"/>
      <w:numFmt w:val="bullet"/>
      <w:lvlText w:val=""/>
      <w:lvlJc w:val="left"/>
      <w:pPr>
        <w:tabs>
          <w:tab w:val="num" w:pos="2448"/>
        </w:tabs>
        <w:ind w:left="2448" w:hanging="360"/>
      </w:pPr>
      <w:rPr>
        <w:rFonts w:ascii="Symbol" w:hAnsi="Symbol" w:hint="default"/>
        <w:sz w:val="20"/>
      </w:rPr>
    </w:lvl>
    <w:lvl w:ilvl="1" w:tentative="1">
      <w:start w:val="1"/>
      <w:numFmt w:val="bullet"/>
      <w:lvlText w:val="o"/>
      <w:lvlJc w:val="left"/>
      <w:pPr>
        <w:tabs>
          <w:tab w:val="num" w:pos="3168"/>
        </w:tabs>
        <w:ind w:left="3168" w:hanging="360"/>
      </w:pPr>
      <w:rPr>
        <w:rFonts w:ascii="Courier New" w:hAnsi="Courier New" w:hint="default"/>
        <w:sz w:val="20"/>
      </w:rPr>
    </w:lvl>
    <w:lvl w:ilvl="2" w:tentative="1">
      <w:start w:val="1"/>
      <w:numFmt w:val="bullet"/>
      <w:lvlText w:val=""/>
      <w:lvlJc w:val="left"/>
      <w:pPr>
        <w:tabs>
          <w:tab w:val="num" w:pos="3888"/>
        </w:tabs>
        <w:ind w:left="3888" w:hanging="360"/>
      </w:pPr>
      <w:rPr>
        <w:rFonts w:ascii="Wingdings" w:hAnsi="Wingdings" w:hint="default"/>
        <w:sz w:val="20"/>
      </w:rPr>
    </w:lvl>
    <w:lvl w:ilvl="3" w:tentative="1">
      <w:start w:val="1"/>
      <w:numFmt w:val="bullet"/>
      <w:lvlText w:val=""/>
      <w:lvlJc w:val="left"/>
      <w:pPr>
        <w:tabs>
          <w:tab w:val="num" w:pos="4608"/>
        </w:tabs>
        <w:ind w:left="4608" w:hanging="360"/>
      </w:pPr>
      <w:rPr>
        <w:rFonts w:ascii="Wingdings" w:hAnsi="Wingdings" w:hint="default"/>
        <w:sz w:val="20"/>
      </w:rPr>
    </w:lvl>
    <w:lvl w:ilvl="4" w:tentative="1">
      <w:start w:val="1"/>
      <w:numFmt w:val="bullet"/>
      <w:lvlText w:val=""/>
      <w:lvlJc w:val="left"/>
      <w:pPr>
        <w:tabs>
          <w:tab w:val="num" w:pos="5328"/>
        </w:tabs>
        <w:ind w:left="5328" w:hanging="360"/>
      </w:pPr>
      <w:rPr>
        <w:rFonts w:ascii="Wingdings" w:hAnsi="Wingdings" w:hint="default"/>
        <w:sz w:val="20"/>
      </w:rPr>
    </w:lvl>
    <w:lvl w:ilvl="5" w:tentative="1">
      <w:start w:val="1"/>
      <w:numFmt w:val="bullet"/>
      <w:lvlText w:val=""/>
      <w:lvlJc w:val="left"/>
      <w:pPr>
        <w:tabs>
          <w:tab w:val="num" w:pos="6048"/>
        </w:tabs>
        <w:ind w:left="6048" w:hanging="360"/>
      </w:pPr>
      <w:rPr>
        <w:rFonts w:ascii="Wingdings" w:hAnsi="Wingdings" w:hint="default"/>
        <w:sz w:val="20"/>
      </w:rPr>
    </w:lvl>
    <w:lvl w:ilvl="6" w:tentative="1">
      <w:start w:val="1"/>
      <w:numFmt w:val="bullet"/>
      <w:lvlText w:val=""/>
      <w:lvlJc w:val="left"/>
      <w:pPr>
        <w:tabs>
          <w:tab w:val="num" w:pos="6768"/>
        </w:tabs>
        <w:ind w:left="6768" w:hanging="360"/>
      </w:pPr>
      <w:rPr>
        <w:rFonts w:ascii="Wingdings" w:hAnsi="Wingdings" w:hint="default"/>
        <w:sz w:val="20"/>
      </w:rPr>
    </w:lvl>
    <w:lvl w:ilvl="7" w:tentative="1">
      <w:start w:val="1"/>
      <w:numFmt w:val="bullet"/>
      <w:lvlText w:val=""/>
      <w:lvlJc w:val="left"/>
      <w:pPr>
        <w:tabs>
          <w:tab w:val="num" w:pos="7488"/>
        </w:tabs>
        <w:ind w:left="7488" w:hanging="360"/>
      </w:pPr>
      <w:rPr>
        <w:rFonts w:ascii="Wingdings" w:hAnsi="Wingdings" w:hint="default"/>
        <w:sz w:val="20"/>
      </w:rPr>
    </w:lvl>
    <w:lvl w:ilvl="8" w:tentative="1">
      <w:start w:val="1"/>
      <w:numFmt w:val="bullet"/>
      <w:lvlText w:val=""/>
      <w:lvlJc w:val="left"/>
      <w:pPr>
        <w:tabs>
          <w:tab w:val="num" w:pos="8208"/>
        </w:tabs>
        <w:ind w:left="8208" w:hanging="360"/>
      </w:pPr>
      <w:rPr>
        <w:rFonts w:ascii="Wingdings" w:hAnsi="Wingdings" w:hint="default"/>
        <w:sz w:val="20"/>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B742E32"/>
    <w:multiLevelType w:val="multilevel"/>
    <w:tmpl w:val="F30223A8"/>
    <w:lvl w:ilvl="0">
      <w:start w:val="1"/>
      <w:numFmt w:val="bullet"/>
      <w:lvlText w:val="·"/>
      <w:lvlJc w:val="left"/>
      <w:pPr>
        <w:tabs>
          <w:tab w:val="left" w:pos="216"/>
        </w:tabs>
      </w:pPr>
      <w:rPr>
        <w:rFonts w:ascii="Symbol" w:eastAsia="Symbol" w:hAnsi="Symbol"/>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DB73C0"/>
    <w:multiLevelType w:val="multilevel"/>
    <w:tmpl w:val="D412459C"/>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o"/>
      <w:lvlJc w:val="left"/>
      <w:pPr>
        <w:tabs>
          <w:tab w:val="num" w:pos="1224"/>
        </w:tabs>
        <w:ind w:left="1224" w:hanging="360"/>
      </w:pPr>
      <w:rPr>
        <w:rFonts w:ascii="Courier New" w:hAnsi="Courier New" w:hint="default"/>
        <w:sz w:val="20"/>
      </w:rPr>
    </w:lvl>
    <w:lvl w:ilvl="2" w:tentative="1">
      <w:start w:val="1"/>
      <w:numFmt w:val="bullet"/>
      <w:lvlText w:val=""/>
      <w:lvlJc w:val="left"/>
      <w:pPr>
        <w:tabs>
          <w:tab w:val="num" w:pos="1944"/>
        </w:tabs>
        <w:ind w:left="1944" w:hanging="360"/>
      </w:pPr>
      <w:rPr>
        <w:rFonts w:ascii="Wingdings" w:hAnsi="Wingdings" w:hint="default"/>
        <w:sz w:val="20"/>
      </w:rPr>
    </w:lvl>
    <w:lvl w:ilvl="3" w:tentative="1">
      <w:start w:val="1"/>
      <w:numFmt w:val="bullet"/>
      <w:lvlText w:val=""/>
      <w:lvlJc w:val="left"/>
      <w:pPr>
        <w:tabs>
          <w:tab w:val="num" w:pos="2664"/>
        </w:tabs>
        <w:ind w:left="2664" w:hanging="360"/>
      </w:pPr>
      <w:rPr>
        <w:rFonts w:ascii="Wingdings" w:hAnsi="Wingdings" w:hint="default"/>
        <w:sz w:val="20"/>
      </w:rPr>
    </w:lvl>
    <w:lvl w:ilvl="4" w:tentative="1">
      <w:start w:val="1"/>
      <w:numFmt w:val="bullet"/>
      <w:lvlText w:val=""/>
      <w:lvlJc w:val="left"/>
      <w:pPr>
        <w:tabs>
          <w:tab w:val="num" w:pos="3384"/>
        </w:tabs>
        <w:ind w:left="3384" w:hanging="360"/>
      </w:pPr>
      <w:rPr>
        <w:rFonts w:ascii="Wingdings" w:hAnsi="Wingdings" w:hint="default"/>
        <w:sz w:val="20"/>
      </w:rPr>
    </w:lvl>
    <w:lvl w:ilvl="5" w:tentative="1">
      <w:start w:val="1"/>
      <w:numFmt w:val="bullet"/>
      <w:lvlText w:val=""/>
      <w:lvlJc w:val="left"/>
      <w:pPr>
        <w:tabs>
          <w:tab w:val="num" w:pos="4104"/>
        </w:tabs>
        <w:ind w:left="4104" w:hanging="360"/>
      </w:pPr>
      <w:rPr>
        <w:rFonts w:ascii="Wingdings" w:hAnsi="Wingdings" w:hint="default"/>
        <w:sz w:val="20"/>
      </w:rPr>
    </w:lvl>
    <w:lvl w:ilvl="6" w:tentative="1">
      <w:start w:val="1"/>
      <w:numFmt w:val="bullet"/>
      <w:lvlText w:val=""/>
      <w:lvlJc w:val="left"/>
      <w:pPr>
        <w:tabs>
          <w:tab w:val="num" w:pos="4824"/>
        </w:tabs>
        <w:ind w:left="4824" w:hanging="360"/>
      </w:pPr>
      <w:rPr>
        <w:rFonts w:ascii="Wingdings" w:hAnsi="Wingdings" w:hint="default"/>
        <w:sz w:val="20"/>
      </w:rPr>
    </w:lvl>
    <w:lvl w:ilvl="7" w:tentative="1">
      <w:start w:val="1"/>
      <w:numFmt w:val="bullet"/>
      <w:lvlText w:val=""/>
      <w:lvlJc w:val="left"/>
      <w:pPr>
        <w:tabs>
          <w:tab w:val="num" w:pos="5544"/>
        </w:tabs>
        <w:ind w:left="5544" w:hanging="360"/>
      </w:pPr>
      <w:rPr>
        <w:rFonts w:ascii="Wingdings" w:hAnsi="Wingdings" w:hint="default"/>
        <w:sz w:val="20"/>
      </w:rPr>
    </w:lvl>
    <w:lvl w:ilvl="8" w:tentative="1">
      <w:start w:val="1"/>
      <w:numFmt w:val="bullet"/>
      <w:lvlText w:val=""/>
      <w:lvlJc w:val="left"/>
      <w:pPr>
        <w:tabs>
          <w:tab w:val="num" w:pos="6264"/>
        </w:tabs>
        <w:ind w:left="6264" w:hanging="360"/>
      </w:pPr>
      <w:rPr>
        <w:rFonts w:ascii="Wingdings" w:hAnsi="Wingdings" w:hint="default"/>
        <w:sz w:val="20"/>
      </w:rPr>
    </w:lvl>
  </w:abstractNum>
  <w:abstractNum w:abstractNumId="13" w15:restartNumberingAfterBreak="0">
    <w:nsid w:val="69140437"/>
    <w:multiLevelType w:val="hybridMultilevel"/>
    <w:tmpl w:val="C4EAFB18"/>
    <w:lvl w:ilvl="0" w:tplc="35AA3F6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0C2185F"/>
    <w:multiLevelType w:val="hybridMultilevel"/>
    <w:tmpl w:val="31C83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13"/>
  </w:num>
  <w:num w:numId="10">
    <w:abstractNumId w:val="11"/>
  </w:num>
  <w:num w:numId="11">
    <w:abstractNumId w:val="6"/>
  </w:num>
  <w:num w:numId="12">
    <w:abstractNumId w:val="5"/>
  </w:num>
  <w:num w:numId="13">
    <w:abstractNumId w:val="7"/>
  </w:num>
  <w:num w:numId="14">
    <w:abstractNumId w:val="10"/>
  </w:num>
  <w:num w:numId="15">
    <w:abstractNumId w:val="8"/>
  </w:num>
  <w:num w:numId="16">
    <w:abstractNumId w:val="12"/>
  </w:num>
  <w:num w:numId="17">
    <w:abstractNumId w:val="2"/>
  </w:num>
  <w:num w:numId="18">
    <w:abstractNumId w:val="9"/>
  </w:num>
  <w:num w:numId="19">
    <w:abstractNumId w:val="14"/>
  </w:num>
  <w:num w:numId="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CD3"/>
    <w:rsid w:val="000072B6"/>
    <w:rsid w:val="0001021B"/>
    <w:rsid w:val="00011D89"/>
    <w:rsid w:val="00013E09"/>
    <w:rsid w:val="00024D89"/>
    <w:rsid w:val="000250B6"/>
    <w:rsid w:val="0003235E"/>
    <w:rsid w:val="00033D81"/>
    <w:rsid w:val="00041BF0"/>
    <w:rsid w:val="0004536B"/>
    <w:rsid w:val="00046B68"/>
    <w:rsid w:val="000527DD"/>
    <w:rsid w:val="000578B2"/>
    <w:rsid w:val="00060959"/>
    <w:rsid w:val="0006154F"/>
    <w:rsid w:val="000663CD"/>
    <w:rsid w:val="00071163"/>
    <w:rsid w:val="000733FE"/>
    <w:rsid w:val="00074219"/>
    <w:rsid w:val="00074ED5"/>
    <w:rsid w:val="0009113B"/>
    <w:rsid w:val="00094DA3"/>
    <w:rsid w:val="00096CD1"/>
    <w:rsid w:val="000A012C"/>
    <w:rsid w:val="000A05CD"/>
    <w:rsid w:val="000A0EB9"/>
    <w:rsid w:val="000A186C"/>
    <w:rsid w:val="000A26FE"/>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212"/>
    <w:rsid w:val="00124ED5"/>
    <w:rsid w:val="001260FF"/>
    <w:rsid w:val="0012797D"/>
    <w:rsid w:val="00134114"/>
    <w:rsid w:val="00136750"/>
    <w:rsid w:val="001369D6"/>
    <w:rsid w:val="00137181"/>
    <w:rsid w:val="001447B3"/>
    <w:rsid w:val="0014556C"/>
    <w:rsid w:val="00152073"/>
    <w:rsid w:val="00161939"/>
    <w:rsid w:val="00161AA0"/>
    <w:rsid w:val="00162093"/>
    <w:rsid w:val="001771DD"/>
    <w:rsid w:val="00177995"/>
    <w:rsid w:val="00177A8C"/>
    <w:rsid w:val="00186B33"/>
    <w:rsid w:val="00192F9D"/>
    <w:rsid w:val="001948E3"/>
    <w:rsid w:val="00196EB8"/>
    <w:rsid w:val="00196EFB"/>
    <w:rsid w:val="001979FF"/>
    <w:rsid w:val="00197B17"/>
    <w:rsid w:val="001A3ACE"/>
    <w:rsid w:val="001A737B"/>
    <w:rsid w:val="001B2680"/>
    <w:rsid w:val="001C277E"/>
    <w:rsid w:val="001C2A72"/>
    <w:rsid w:val="001D0B75"/>
    <w:rsid w:val="001D3C09"/>
    <w:rsid w:val="001D44E8"/>
    <w:rsid w:val="001D60EC"/>
    <w:rsid w:val="001E44DF"/>
    <w:rsid w:val="001E68A5"/>
    <w:rsid w:val="001E6BB0"/>
    <w:rsid w:val="001F3826"/>
    <w:rsid w:val="001F6E46"/>
    <w:rsid w:val="001F7C91"/>
    <w:rsid w:val="002026E7"/>
    <w:rsid w:val="00206463"/>
    <w:rsid w:val="00206F2F"/>
    <w:rsid w:val="0021053D"/>
    <w:rsid w:val="00210A92"/>
    <w:rsid w:val="00216C03"/>
    <w:rsid w:val="00220C04"/>
    <w:rsid w:val="0022278D"/>
    <w:rsid w:val="00225FAA"/>
    <w:rsid w:val="0022701F"/>
    <w:rsid w:val="002333F5"/>
    <w:rsid w:val="00233724"/>
    <w:rsid w:val="002432E1"/>
    <w:rsid w:val="00246207"/>
    <w:rsid w:val="00246C5E"/>
    <w:rsid w:val="00247A06"/>
    <w:rsid w:val="00251343"/>
    <w:rsid w:val="00254F58"/>
    <w:rsid w:val="002620BC"/>
    <w:rsid w:val="00262802"/>
    <w:rsid w:val="00263A90"/>
    <w:rsid w:val="0026408B"/>
    <w:rsid w:val="00267C3E"/>
    <w:rsid w:val="002709BB"/>
    <w:rsid w:val="002763B3"/>
    <w:rsid w:val="002802E3"/>
    <w:rsid w:val="0028213D"/>
    <w:rsid w:val="0028238D"/>
    <w:rsid w:val="002862F1"/>
    <w:rsid w:val="00291373"/>
    <w:rsid w:val="0029597D"/>
    <w:rsid w:val="002962C3"/>
    <w:rsid w:val="0029752B"/>
    <w:rsid w:val="002A483C"/>
    <w:rsid w:val="002A48CC"/>
    <w:rsid w:val="002B1729"/>
    <w:rsid w:val="002B36C7"/>
    <w:rsid w:val="002B4DD4"/>
    <w:rsid w:val="002B51B8"/>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4230"/>
    <w:rsid w:val="0032536A"/>
    <w:rsid w:val="00327870"/>
    <w:rsid w:val="0033259D"/>
    <w:rsid w:val="003406C6"/>
    <w:rsid w:val="003418CC"/>
    <w:rsid w:val="003459BD"/>
    <w:rsid w:val="00350D38"/>
    <w:rsid w:val="00351B36"/>
    <w:rsid w:val="00357B4E"/>
    <w:rsid w:val="00363F45"/>
    <w:rsid w:val="003744CF"/>
    <w:rsid w:val="00374717"/>
    <w:rsid w:val="0037676C"/>
    <w:rsid w:val="003829E5"/>
    <w:rsid w:val="003903D2"/>
    <w:rsid w:val="003922E3"/>
    <w:rsid w:val="003956CC"/>
    <w:rsid w:val="00395C9A"/>
    <w:rsid w:val="003A0AA6"/>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18CB"/>
    <w:rsid w:val="0045230A"/>
    <w:rsid w:val="00455024"/>
    <w:rsid w:val="00456DBF"/>
    <w:rsid w:val="00457337"/>
    <w:rsid w:val="0047372D"/>
    <w:rsid w:val="004743DD"/>
    <w:rsid w:val="00474CEA"/>
    <w:rsid w:val="00483968"/>
    <w:rsid w:val="00484F86"/>
    <w:rsid w:val="004851E8"/>
    <w:rsid w:val="00490746"/>
    <w:rsid w:val="00490852"/>
    <w:rsid w:val="00492F30"/>
    <w:rsid w:val="004946F4"/>
    <w:rsid w:val="0049487E"/>
    <w:rsid w:val="004A160D"/>
    <w:rsid w:val="004A3E81"/>
    <w:rsid w:val="004A5C62"/>
    <w:rsid w:val="004A707D"/>
    <w:rsid w:val="004C35BC"/>
    <w:rsid w:val="004C6EEE"/>
    <w:rsid w:val="004C702B"/>
    <w:rsid w:val="004D016B"/>
    <w:rsid w:val="004D1B22"/>
    <w:rsid w:val="004D294C"/>
    <w:rsid w:val="004D36F2"/>
    <w:rsid w:val="004E138F"/>
    <w:rsid w:val="004E4649"/>
    <w:rsid w:val="004E5C2B"/>
    <w:rsid w:val="004F00DD"/>
    <w:rsid w:val="004F2133"/>
    <w:rsid w:val="004F2472"/>
    <w:rsid w:val="004F55F1"/>
    <w:rsid w:val="004F6936"/>
    <w:rsid w:val="00503DC6"/>
    <w:rsid w:val="00505F5E"/>
    <w:rsid w:val="00506F5D"/>
    <w:rsid w:val="005074EA"/>
    <w:rsid w:val="005126D0"/>
    <w:rsid w:val="0051568D"/>
    <w:rsid w:val="00520687"/>
    <w:rsid w:val="00526C15"/>
    <w:rsid w:val="00536499"/>
    <w:rsid w:val="00543903"/>
    <w:rsid w:val="00543F11"/>
    <w:rsid w:val="00547A95"/>
    <w:rsid w:val="00567E95"/>
    <w:rsid w:val="00572031"/>
    <w:rsid w:val="005724C8"/>
    <w:rsid w:val="00576E84"/>
    <w:rsid w:val="00582B8C"/>
    <w:rsid w:val="005848C9"/>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3CE5"/>
    <w:rsid w:val="005E447E"/>
    <w:rsid w:val="005F0775"/>
    <w:rsid w:val="005F0CF5"/>
    <w:rsid w:val="005F21EB"/>
    <w:rsid w:val="00605908"/>
    <w:rsid w:val="00610D7C"/>
    <w:rsid w:val="00613414"/>
    <w:rsid w:val="00620FB9"/>
    <w:rsid w:val="00621E99"/>
    <w:rsid w:val="0062356A"/>
    <w:rsid w:val="0062408D"/>
    <w:rsid w:val="006240CC"/>
    <w:rsid w:val="00625111"/>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A82"/>
    <w:rsid w:val="00691B62"/>
    <w:rsid w:val="006933B5"/>
    <w:rsid w:val="00693D14"/>
    <w:rsid w:val="006A18C2"/>
    <w:rsid w:val="006B077C"/>
    <w:rsid w:val="006B6803"/>
    <w:rsid w:val="006C39A4"/>
    <w:rsid w:val="006D2A3F"/>
    <w:rsid w:val="006D2FBC"/>
    <w:rsid w:val="006E138B"/>
    <w:rsid w:val="006F0525"/>
    <w:rsid w:val="006F1FDC"/>
    <w:rsid w:val="007013EF"/>
    <w:rsid w:val="00705AF8"/>
    <w:rsid w:val="007173CA"/>
    <w:rsid w:val="007216AA"/>
    <w:rsid w:val="00721AB5"/>
    <w:rsid w:val="00721DEF"/>
    <w:rsid w:val="00724A43"/>
    <w:rsid w:val="00731B75"/>
    <w:rsid w:val="007346E4"/>
    <w:rsid w:val="00740F22"/>
    <w:rsid w:val="00741F1A"/>
    <w:rsid w:val="007450F8"/>
    <w:rsid w:val="0074696E"/>
    <w:rsid w:val="00750135"/>
    <w:rsid w:val="00750EC2"/>
    <w:rsid w:val="00752B28"/>
    <w:rsid w:val="00754E36"/>
    <w:rsid w:val="00760AB5"/>
    <w:rsid w:val="00763139"/>
    <w:rsid w:val="00770F37"/>
    <w:rsid w:val="00770FBA"/>
    <w:rsid w:val="007711A0"/>
    <w:rsid w:val="00772D5E"/>
    <w:rsid w:val="00772EE7"/>
    <w:rsid w:val="00775056"/>
    <w:rsid w:val="007764C5"/>
    <w:rsid w:val="00776928"/>
    <w:rsid w:val="00785677"/>
    <w:rsid w:val="00786F16"/>
    <w:rsid w:val="00796E20"/>
    <w:rsid w:val="00797C32"/>
    <w:rsid w:val="007A4DAB"/>
    <w:rsid w:val="007A6383"/>
    <w:rsid w:val="007B0914"/>
    <w:rsid w:val="007B1374"/>
    <w:rsid w:val="007B589F"/>
    <w:rsid w:val="007B6186"/>
    <w:rsid w:val="007B73BC"/>
    <w:rsid w:val="007C20B9"/>
    <w:rsid w:val="007C7301"/>
    <w:rsid w:val="007C7859"/>
    <w:rsid w:val="007D2BDE"/>
    <w:rsid w:val="007D2FB6"/>
    <w:rsid w:val="007D2FBB"/>
    <w:rsid w:val="007D6855"/>
    <w:rsid w:val="007D6B5C"/>
    <w:rsid w:val="007D6E2D"/>
    <w:rsid w:val="007E0DE2"/>
    <w:rsid w:val="007E3B98"/>
    <w:rsid w:val="007E4F02"/>
    <w:rsid w:val="007F31B6"/>
    <w:rsid w:val="007F546C"/>
    <w:rsid w:val="007F625F"/>
    <w:rsid w:val="007F665E"/>
    <w:rsid w:val="007F7D69"/>
    <w:rsid w:val="00800412"/>
    <w:rsid w:val="0080587B"/>
    <w:rsid w:val="00806468"/>
    <w:rsid w:val="008100D0"/>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11B3"/>
    <w:rsid w:val="0089270A"/>
    <w:rsid w:val="00893AF6"/>
    <w:rsid w:val="00894BC4"/>
    <w:rsid w:val="008A5533"/>
    <w:rsid w:val="008A5B32"/>
    <w:rsid w:val="008B2EE4"/>
    <w:rsid w:val="008B4D3D"/>
    <w:rsid w:val="008B57C7"/>
    <w:rsid w:val="008C2F92"/>
    <w:rsid w:val="008C3088"/>
    <w:rsid w:val="008D2846"/>
    <w:rsid w:val="008D4236"/>
    <w:rsid w:val="008D462F"/>
    <w:rsid w:val="008D6DCF"/>
    <w:rsid w:val="008E4376"/>
    <w:rsid w:val="008E7A0A"/>
    <w:rsid w:val="008F22CB"/>
    <w:rsid w:val="008F5BF8"/>
    <w:rsid w:val="008F5D14"/>
    <w:rsid w:val="00900719"/>
    <w:rsid w:val="009017AC"/>
    <w:rsid w:val="00904A1C"/>
    <w:rsid w:val="00905030"/>
    <w:rsid w:val="00906490"/>
    <w:rsid w:val="009111B2"/>
    <w:rsid w:val="00924AE1"/>
    <w:rsid w:val="009269B1"/>
    <w:rsid w:val="0092724D"/>
    <w:rsid w:val="00935CD3"/>
    <w:rsid w:val="00937BD9"/>
    <w:rsid w:val="00950E2C"/>
    <w:rsid w:val="00951D50"/>
    <w:rsid w:val="009525EB"/>
    <w:rsid w:val="00954874"/>
    <w:rsid w:val="00961400"/>
    <w:rsid w:val="00963646"/>
    <w:rsid w:val="00971B3C"/>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1E2C"/>
    <w:rsid w:val="00A44882"/>
    <w:rsid w:val="00A47399"/>
    <w:rsid w:val="00A54715"/>
    <w:rsid w:val="00A6061C"/>
    <w:rsid w:val="00A62D44"/>
    <w:rsid w:val="00A632AB"/>
    <w:rsid w:val="00A64981"/>
    <w:rsid w:val="00A67263"/>
    <w:rsid w:val="00A7161C"/>
    <w:rsid w:val="00A77AA3"/>
    <w:rsid w:val="00A854EB"/>
    <w:rsid w:val="00A872E5"/>
    <w:rsid w:val="00A91406"/>
    <w:rsid w:val="00A96E65"/>
    <w:rsid w:val="00A97C72"/>
    <w:rsid w:val="00AA63D4"/>
    <w:rsid w:val="00AB06E8"/>
    <w:rsid w:val="00AB129C"/>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46AC4"/>
    <w:rsid w:val="00B5273A"/>
    <w:rsid w:val="00B5661A"/>
    <w:rsid w:val="00B57329"/>
    <w:rsid w:val="00B628F1"/>
    <w:rsid w:val="00B62B50"/>
    <w:rsid w:val="00B635B7"/>
    <w:rsid w:val="00B63AE8"/>
    <w:rsid w:val="00B65950"/>
    <w:rsid w:val="00B66D83"/>
    <w:rsid w:val="00B672C0"/>
    <w:rsid w:val="00B75646"/>
    <w:rsid w:val="00B90729"/>
    <w:rsid w:val="00B907DA"/>
    <w:rsid w:val="00B950BC"/>
    <w:rsid w:val="00B9714C"/>
    <w:rsid w:val="00B9778E"/>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15E0B"/>
    <w:rsid w:val="00C23D8B"/>
    <w:rsid w:val="00C27DE9"/>
    <w:rsid w:val="00C33388"/>
    <w:rsid w:val="00C35484"/>
    <w:rsid w:val="00C4173A"/>
    <w:rsid w:val="00C602FF"/>
    <w:rsid w:val="00C61174"/>
    <w:rsid w:val="00C6148F"/>
    <w:rsid w:val="00C62F7A"/>
    <w:rsid w:val="00C63B9C"/>
    <w:rsid w:val="00C6682F"/>
    <w:rsid w:val="00C7275E"/>
    <w:rsid w:val="00C73F0E"/>
    <w:rsid w:val="00C74C5D"/>
    <w:rsid w:val="00C863C4"/>
    <w:rsid w:val="00C9375C"/>
    <w:rsid w:val="00C93C3E"/>
    <w:rsid w:val="00CA12E3"/>
    <w:rsid w:val="00CA2573"/>
    <w:rsid w:val="00CA6611"/>
    <w:rsid w:val="00CA6AE6"/>
    <w:rsid w:val="00CA782F"/>
    <w:rsid w:val="00CB3285"/>
    <w:rsid w:val="00CC0C72"/>
    <w:rsid w:val="00CC2BFD"/>
    <w:rsid w:val="00CD3476"/>
    <w:rsid w:val="00CD64DF"/>
    <w:rsid w:val="00CD6D29"/>
    <w:rsid w:val="00CE3099"/>
    <w:rsid w:val="00CF0272"/>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664F"/>
    <w:rsid w:val="00DE78A3"/>
    <w:rsid w:val="00DE7F7C"/>
    <w:rsid w:val="00DF1A71"/>
    <w:rsid w:val="00DF3A5C"/>
    <w:rsid w:val="00DF68C7"/>
    <w:rsid w:val="00DF731A"/>
    <w:rsid w:val="00E031D6"/>
    <w:rsid w:val="00E03F0A"/>
    <w:rsid w:val="00E170DC"/>
    <w:rsid w:val="00E26818"/>
    <w:rsid w:val="00E27FFC"/>
    <w:rsid w:val="00E30B15"/>
    <w:rsid w:val="00E35345"/>
    <w:rsid w:val="00E40181"/>
    <w:rsid w:val="00E5580A"/>
    <w:rsid w:val="00E56A01"/>
    <w:rsid w:val="00E629A1"/>
    <w:rsid w:val="00E6794C"/>
    <w:rsid w:val="00E71591"/>
    <w:rsid w:val="00E80FC2"/>
    <w:rsid w:val="00E82C55"/>
    <w:rsid w:val="00E92AC3"/>
    <w:rsid w:val="00E9507E"/>
    <w:rsid w:val="00E955EE"/>
    <w:rsid w:val="00EB00E0"/>
    <w:rsid w:val="00EB18AF"/>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143"/>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0F38"/>
    <w:rsid w:val="00F815B5"/>
    <w:rsid w:val="00F85195"/>
    <w:rsid w:val="00F868CE"/>
    <w:rsid w:val="00F938BA"/>
    <w:rsid w:val="00FA2C46"/>
    <w:rsid w:val="00FA3525"/>
    <w:rsid w:val="00FB4769"/>
    <w:rsid w:val="00FB4CDA"/>
    <w:rsid w:val="00FC0F81"/>
    <w:rsid w:val="00FC392C"/>
    <w:rsid w:val="00FC395C"/>
    <w:rsid w:val="00FC6E62"/>
    <w:rsid w:val="00FD3766"/>
    <w:rsid w:val="00FD47C4"/>
    <w:rsid w:val="00FE2DCF"/>
    <w:rsid w:val="00FE7AB3"/>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B78E2A0"/>
  <w15:docId w15:val="{488739AD-5342-4DC0-8A40-2A21E14E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35CD3"/>
    <w:rPr>
      <w:rFonts w:eastAsia="PMingLiU"/>
      <w:sz w:val="22"/>
      <w:szCs w:val="22"/>
      <w:lang w:val="en-US"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39"/>
    <w:rsid w:val="005E447E"/>
    <w:pPr>
      <w:ind w:left="284"/>
    </w:pPr>
  </w:style>
  <w:style w:type="paragraph" w:styleId="TOC4">
    <w:name w:val="toc 4"/>
    <w:basedOn w:val="TOC3"/>
    <w:autoRedefine/>
    <w:uiPriority w:val="39"/>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CommentReference">
    <w:name w:val="annotation reference"/>
    <w:uiPriority w:val="99"/>
    <w:semiHidden/>
    <w:unhideWhenUsed/>
    <w:rsid w:val="00935CD3"/>
    <w:rPr>
      <w:sz w:val="16"/>
      <w:szCs w:val="16"/>
    </w:rPr>
  </w:style>
  <w:style w:type="paragraph" w:styleId="CommentText">
    <w:name w:val="annotation text"/>
    <w:basedOn w:val="Normal"/>
    <w:link w:val="CommentTextChar"/>
    <w:uiPriority w:val="99"/>
    <w:semiHidden/>
    <w:unhideWhenUsed/>
    <w:rsid w:val="00935CD3"/>
    <w:rPr>
      <w:sz w:val="20"/>
      <w:szCs w:val="20"/>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CommentTextChar">
    <w:name w:val="Comment Text Char"/>
    <w:basedOn w:val="DefaultParagraphFont"/>
    <w:link w:val="CommentText"/>
    <w:uiPriority w:val="99"/>
    <w:semiHidden/>
    <w:rsid w:val="00935CD3"/>
    <w:rPr>
      <w:rFonts w:eastAsia="PMingLiU"/>
      <w:lang w:val="en-US" w:eastAsia="en-US"/>
    </w:rPr>
  </w:style>
  <w:style w:type="paragraph" w:styleId="ListParagraph">
    <w:name w:val="List Paragraph"/>
    <w:basedOn w:val="Normal"/>
    <w:uiPriority w:val="34"/>
    <w:qFormat/>
    <w:rsid w:val="00935CD3"/>
    <w:pPr>
      <w:ind w:left="720"/>
      <w:contextualSpacing/>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935CD3"/>
    <w:rPr>
      <w:rFonts w:ascii="Tahoma" w:hAnsi="Tahoma" w:cs="Tahoma"/>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BalloonTextChar">
    <w:name w:val="Balloon Text Char"/>
    <w:basedOn w:val="DefaultParagraphFont"/>
    <w:link w:val="BalloonText"/>
    <w:uiPriority w:val="99"/>
    <w:semiHidden/>
    <w:rsid w:val="00935CD3"/>
    <w:rPr>
      <w:rFonts w:ascii="Tahoma" w:eastAsia="PMingLiU"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7764C5"/>
    <w:rPr>
      <w:b/>
      <w:bCs/>
    </w:rPr>
  </w:style>
  <w:style w:type="character" w:customStyle="1" w:styleId="CommentSubjectChar">
    <w:name w:val="Comment Subject Char"/>
    <w:basedOn w:val="CommentTextChar"/>
    <w:link w:val="CommentSubject"/>
    <w:uiPriority w:val="99"/>
    <w:semiHidden/>
    <w:rsid w:val="007764C5"/>
    <w:rPr>
      <w:rFonts w:eastAsia="PMingLiU"/>
      <w:b/>
      <w:bCs/>
      <w:lang w:val="en-US" w:eastAsia="en-US"/>
    </w:rPr>
  </w:style>
  <w:style w:type="paragraph" w:styleId="Revision">
    <w:name w:val="Revision"/>
    <w:hidden/>
    <w:uiPriority w:val="71"/>
    <w:rsid w:val="004F2472"/>
    <w:rPr>
      <w:rFonts w:eastAsia="PMingLiU"/>
      <w:sz w:val="22"/>
      <w:szCs w:val="22"/>
      <w:lang w:val="en-US" w:eastAsia="en-US"/>
    </w:rPr>
  </w:style>
  <w:style w:type="paragraph" w:styleId="NormalWeb">
    <w:name w:val="Normal (Web)"/>
    <w:basedOn w:val="Normal"/>
    <w:uiPriority w:val="99"/>
    <w:semiHidden/>
    <w:unhideWhenUsed/>
    <w:rsid w:val="008F22CB"/>
    <w:pPr>
      <w:spacing w:before="240" w:after="240" w:line="288" w:lineRule="atLeast"/>
    </w:pPr>
    <w:rPr>
      <w:rFonts w:eastAsia="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9804">
      <w:bodyDiv w:val="1"/>
      <w:marLeft w:val="0"/>
      <w:marRight w:val="0"/>
      <w:marTop w:val="0"/>
      <w:marBottom w:val="0"/>
      <w:divBdr>
        <w:top w:val="none" w:sz="0" w:space="0" w:color="auto"/>
        <w:left w:val="none" w:sz="0" w:space="0" w:color="auto"/>
        <w:bottom w:val="none" w:sz="0" w:space="0" w:color="auto"/>
        <w:right w:val="none" w:sz="0" w:space="0" w:color="auto"/>
      </w:divBdr>
      <w:divsChild>
        <w:div w:id="1254514721">
          <w:marLeft w:val="0"/>
          <w:marRight w:val="0"/>
          <w:marTop w:val="0"/>
          <w:marBottom w:val="0"/>
          <w:divBdr>
            <w:top w:val="none" w:sz="0" w:space="0" w:color="auto"/>
            <w:left w:val="none" w:sz="0" w:space="0" w:color="auto"/>
            <w:bottom w:val="none" w:sz="0" w:space="0" w:color="auto"/>
            <w:right w:val="none" w:sz="0" w:space="0" w:color="auto"/>
          </w:divBdr>
          <w:divsChild>
            <w:div w:id="764231763">
              <w:marLeft w:val="0"/>
              <w:marRight w:val="0"/>
              <w:marTop w:val="0"/>
              <w:marBottom w:val="0"/>
              <w:divBdr>
                <w:top w:val="none" w:sz="0" w:space="0" w:color="auto"/>
                <w:left w:val="none" w:sz="0" w:space="0" w:color="auto"/>
                <w:bottom w:val="none" w:sz="0" w:space="0" w:color="auto"/>
                <w:right w:val="none" w:sz="0" w:space="0" w:color="auto"/>
              </w:divBdr>
              <w:divsChild>
                <w:div w:id="933174101">
                  <w:marLeft w:val="0"/>
                  <w:marRight w:val="0"/>
                  <w:marTop w:val="0"/>
                  <w:marBottom w:val="0"/>
                  <w:divBdr>
                    <w:top w:val="none" w:sz="0" w:space="0" w:color="auto"/>
                    <w:left w:val="none" w:sz="0" w:space="0" w:color="auto"/>
                    <w:bottom w:val="none" w:sz="0" w:space="0" w:color="auto"/>
                    <w:right w:val="none" w:sz="0" w:space="0" w:color="auto"/>
                  </w:divBdr>
                  <w:divsChild>
                    <w:div w:id="159465851">
                      <w:marLeft w:val="0"/>
                      <w:marRight w:val="0"/>
                      <w:marTop w:val="0"/>
                      <w:marBottom w:val="0"/>
                      <w:divBdr>
                        <w:top w:val="none" w:sz="0" w:space="0" w:color="auto"/>
                        <w:left w:val="none" w:sz="0" w:space="0" w:color="auto"/>
                        <w:bottom w:val="none" w:sz="0" w:space="0" w:color="auto"/>
                        <w:right w:val="none" w:sz="0" w:space="0" w:color="auto"/>
                      </w:divBdr>
                      <w:divsChild>
                        <w:div w:id="412090972">
                          <w:marLeft w:val="0"/>
                          <w:marRight w:val="0"/>
                          <w:marTop w:val="0"/>
                          <w:marBottom w:val="1200"/>
                          <w:divBdr>
                            <w:top w:val="none" w:sz="0" w:space="0" w:color="auto"/>
                            <w:left w:val="none" w:sz="0" w:space="0" w:color="auto"/>
                            <w:bottom w:val="none" w:sz="0" w:space="0" w:color="auto"/>
                            <w:right w:val="none" w:sz="0" w:space="0" w:color="auto"/>
                          </w:divBdr>
                          <w:divsChild>
                            <w:div w:id="1847092935">
                              <w:marLeft w:val="0"/>
                              <w:marRight w:val="0"/>
                              <w:marTop w:val="0"/>
                              <w:marBottom w:val="0"/>
                              <w:divBdr>
                                <w:top w:val="none" w:sz="0" w:space="0" w:color="auto"/>
                                <w:left w:val="none" w:sz="0" w:space="0" w:color="auto"/>
                                <w:bottom w:val="none" w:sz="0" w:space="0" w:color="auto"/>
                                <w:right w:val="none" w:sz="0" w:space="0" w:color="auto"/>
                              </w:divBdr>
                              <w:divsChild>
                                <w:div w:id="1177384217">
                                  <w:marLeft w:val="0"/>
                                  <w:marRight w:val="0"/>
                                  <w:marTop w:val="0"/>
                                  <w:marBottom w:val="0"/>
                                  <w:divBdr>
                                    <w:top w:val="none" w:sz="0" w:space="0" w:color="auto"/>
                                    <w:left w:val="none" w:sz="0" w:space="0" w:color="auto"/>
                                    <w:bottom w:val="none" w:sz="0" w:space="0" w:color="auto"/>
                                    <w:right w:val="none" w:sz="0" w:space="0" w:color="auto"/>
                                  </w:divBdr>
                                  <w:divsChild>
                                    <w:div w:id="1536380992">
                                      <w:marLeft w:val="0"/>
                                      <w:marRight w:val="0"/>
                                      <w:marTop w:val="0"/>
                                      <w:marBottom w:val="0"/>
                                      <w:divBdr>
                                        <w:top w:val="single" w:sz="6" w:space="0" w:color="D7D7D7"/>
                                        <w:left w:val="none" w:sz="0" w:space="0" w:color="auto"/>
                                        <w:bottom w:val="single" w:sz="6" w:space="0" w:color="CCCCCC"/>
                                        <w:right w:val="none" w:sz="0" w:space="0" w:color="auto"/>
                                      </w:divBdr>
                                      <w:divsChild>
                                        <w:div w:id="859854453">
                                          <w:marLeft w:val="0"/>
                                          <w:marRight w:val="0"/>
                                          <w:marTop w:val="0"/>
                                          <w:marBottom w:val="0"/>
                                          <w:divBdr>
                                            <w:top w:val="single" w:sz="12" w:space="8" w:color="FFFFFF"/>
                                            <w:left w:val="none" w:sz="0" w:space="0" w:color="auto"/>
                                            <w:bottom w:val="single" w:sz="6" w:space="8" w:color="FFFFFF"/>
                                            <w:right w:val="none" w:sz="0" w:space="0" w:color="auto"/>
                                          </w:divBdr>
                                          <w:divsChild>
                                            <w:div w:id="2443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46967">
      <w:bodyDiv w:val="1"/>
      <w:marLeft w:val="0"/>
      <w:marRight w:val="0"/>
      <w:marTop w:val="0"/>
      <w:marBottom w:val="0"/>
      <w:divBdr>
        <w:top w:val="none" w:sz="0" w:space="0" w:color="auto"/>
        <w:left w:val="none" w:sz="0" w:space="0" w:color="auto"/>
        <w:bottom w:val="none" w:sz="0" w:space="0" w:color="auto"/>
        <w:right w:val="none" w:sz="0" w:space="0" w:color="auto"/>
      </w:divBdr>
      <w:divsChild>
        <w:div w:id="2014412669">
          <w:marLeft w:val="0"/>
          <w:marRight w:val="0"/>
          <w:marTop w:val="0"/>
          <w:marBottom w:val="0"/>
          <w:divBdr>
            <w:top w:val="none" w:sz="0" w:space="0" w:color="auto"/>
            <w:left w:val="none" w:sz="0" w:space="0" w:color="auto"/>
            <w:bottom w:val="none" w:sz="0" w:space="0" w:color="auto"/>
            <w:right w:val="none" w:sz="0" w:space="0" w:color="auto"/>
          </w:divBdr>
          <w:divsChild>
            <w:div w:id="575211807">
              <w:marLeft w:val="0"/>
              <w:marRight w:val="0"/>
              <w:marTop w:val="0"/>
              <w:marBottom w:val="0"/>
              <w:divBdr>
                <w:top w:val="none" w:sz="0" w:space="0" w:color="auto"/>
                <w:left w:val="none" w:sz="0" w:space="0" w:color="auto"/>
                <w:bottom w:val="none" w:sz="0" w:space="0" w:color="auto"/>
                <w:right w:val="none" w:sz="0" w:space="0" w:color="auto"/>
              </w:divBdr>
              <w:divsChild>
                <w:div w:id="113671701">
                  <w:marLeft w:val="0"/>
                  <w:marRight w:val="0"/>
                  <w:marTop w:val="0"/>
                  <w:marBottom w:val="0"/>
                  <w:divBdr>
                    <w:top w:val="none" w:sz="0" w:space="0" w:color="auto"/>
                    <w:left w:val="none" w:sz="0" w:space="0" w:color="auto"/>
                    <w:bottom w:val="none" w:sz="0" w:space="0" w:color="auto"/>
                    <w:right w:val="none" w:sz="0" w:space="0" w:color="auto"/>
                  </w:divBdr>
                  <w:divsChild>
                    <w:div w:id="657922573">
                      <w:marLeft w:val="0"/>
                      <w:marRight w:val="0"/>
                      <w:marTop w:val="0"/>
                      <w:marBottom w:val="0"/>
                      <w:divBdr>
                        <w:top w:val="none" w:sz="0" w:space="0" w:color="auto"/>
                        <w:left w:val="none" w:sz="0" w:space="0" w:color="auto"/>
                        <w:bottom w:val="none" w:sz="0" w:space="0" w:color="auto"/>
                        <w:right w:val="none" w:sz="0" w:space="0" w:color="auto"/>
                      </w:divBdr>
                      <w:divsChild>
                        <w:div w:id="2108307331">
                          <w:marLeft w:val="0"/>
                          <w:marRight w:val="0"/>
                          <w:marTop w:val="0"/>
                          <w:marBottom w:val="1200"/>
                          <w:divBdr>
                            <w:top w:val="none" w:sz="0" w:space="0" w:color="auto"/>
                            <w:left w:val="none" w:sz="0" w:space="0" w:color="auto"/>
                            <w:bottom w:val="none" w:sz="0" w:space="0" w:color="auto"/>
                            <w:right w:val="none" w:sz="0" w:space="0" w:color="auto"/>
                          </w:divBdr>
                          <w:divsChild>
                            <w:div w:id="1983272929">
                              <w:marLeft w:val="0"/>
                              <w:marRight w:val="0"/>
                              <w:marTop w:val="0"/>
                              <w:marBottom w:val="0"/>
                              <w:divBdr>
                                <w:top w:val="none" w:sz="0" w:space="0" w:color="auto"/>
                                <w:left w:val="none" w:sz="0" w:space="0" w:color="auto"/>
                                <w:bottom w:val="none" w:sz="0" w:space="0" w:color="auto"/>
                                <w:right w:val="none" w:sz="0" w:space="0" w:color="auto"/>
                              </w:divBdr>
                              <w:divsChild>
                                <w:div w:id="1501504908">
                                  <w:marLeft w:val="0"/>
                                  <w:marRight w:val="0"/>
                                  <w:marTop w:val="0"/>
                                  <w:marBottom w:val="0"/>
                                  <w:divBdr>
                                    <w:top w:val="none" w:sz="0" w:space="0" w:color="auto"/>
                                    <w:left w:val="none" w:sz="0" w:space="0" w:color="auto"/>
                                    <w:bottom w:val="none" w:sz="0" w:space="0" w:color="auto"/>
                                    <w:right w:val="none" w:sz="0" w:space="0" w:color="auto"/>
                                  </w:divBdr>
                                  <w:divsChild>
                                    <w:div w:id="1523665187">
                                      <w:marLeft w:val="0"/>
                                      <w:marRight w:val="0"/>
                                      <w:marTop w:val="0"/>
                                      <w:marBottom w:val="0"/>
                                      <w:divBdr>
                                        <w:top w:val="single" w:sz="6" w:space="0" w:color="D7D7D7"/>
                                        <w:left w:val="none" w:sz="0" w:space="0" w:color="auto"/>
                                        <w:bottom w:val="single" w:sz="6" w:space="0" w:color="CCCCCC"/>
                                        <w:right w:val="none" w:sz="0" w:space="0" w:color="auto"/>
                                      </w:divBdr>
                                      <w:divsChild>
                                        <w:div w:id="328600489">
                                          <w:marLeft w:val="0"/>
                                          <w:marRight w:val="0"/>
                                          <w:marTop w:val="0"/>
                                          <w:marBottom w:val="0"/>
                                          <w:divBdr>
                                            <w:top w:val="single" w:sz="12" w:space="8" w:color="FFFFFF"/>
                                            <w:left w:val="none" w:sz="0" w:space="0" w:color="auto"/>
                                            <w:bottom w:val="single" w:sz="6" w:space="8" w:color="FFFFFF"/>
                                            <w:right w:val="none" w:sz="0" w:space="0" w:color="auto"/>
                                          </w:divBdr>
                                          <w:divsChild>
                                            <w:div w:id="1524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3B3C-DD84-4825-8E39-3909F335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04 Green 7726.dot</Template>
  <TotalTime>0</TotalTime>
  <Pages>4</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12567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Sophika Houck</dc:creator>
  <cp:lastModifiedBy>Claire Whyte (DHHS)</cp:lastModifiedBy>
  <cp:revision>2</cp:revision>
  <cp:lastPrinted>2019-01-11T04:31:00Z</cp:lastPrinted>
  <dcterms:created xsi:type="dcterms:W3CDTF">2019-05-29T02:31:00Z</dcterms:created>
  <dcterms:modified xsi:type="dcterms:W3CDTF">2019-05-29T02:31:00Z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