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DA64D0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2C4C01CA" wp14:editId="7AED5C9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2B0D13">
          <w:footerReference w:type="default" r:id="rId9"/>
          <w:pgSz w:w="11906" w:h="16838" w:code="9"/>
          <w:pgMar w:top="567" w:right="851" w:bottom="1418" w:left="851" w:header="510" w:footer="192" w:gutter="0"/>
          <w:cols w:space="708"/>
          <w:docGrid w:linePitch="360"/>
        </w:sectPr>
      </w:pPr>
    </w:p>
    <w:tbl>
      <w:tblPr>
        <w:tblW w:w="9915" w:type="dxa"/>
        <w:tblLook w:val="04A0" w:firstRow="1" w:lastRow="0" w:firstColumn="1" w:lastColumn="0" w:noHBand="0" w:noVBand="1"/>
      </w:tblPr>
      <w:tblGrid>
        <w:gridCol w:w="9915"/>
      </w:tblGrid>
      <w:tr w:rsidR="00AD784C" w:rsidTr="002B0D13">
        <w:trPr>
          <w:trHeight w:val="839"/>
        </w:trPr>
        <w:tc>
          <w:tcPr>
            <w:tcW w:w="9915" w:type="dxa"/>
            <w:shd w:val="clear" w:color="auto" w:fill="auto"/>
            <w:vAlign w:val="bottom"/>
          </w:tcPr>
          <w:p w:rsidR="00AD784C" w:rsidRPr="00161AA0" w:rsidRDefault="008C31C4" w:rsidP="0058068C">
            <w:pPr>
              <w:pStyle w:val="DHHSmainheading"/>
            </w:pPr>
            <w:r>
              <w:t xml:space="preserve">Resolving </w:t>
            </w:r>
            <w:r w:rsidR="00477C48">
              <w:t>Individual w</w:t>
            </w:r>
            <w:r w:rsidR="00673377">
              <w:t>or</w:t>
            </w:r>
            <w:r w:rsidR="004B5B24">
              <w:t>k</w:t>
            </w:r>
            <w:r w:rsidR="00673377">
              <w:t xml:space="preserve">load </w:t>
            </w:r>
            <w:r w:rsidR="0058068C">
              <w:t>concerns for</w:t>
            </w:r>
            <w:r w:rsidR="00673377">
              <w:t xml:space="preserve"> </w:t>
            </w:r>
            <w:r w:rsidR="002B0D13">
              <w:t xml:space="preserve">Victorian </w:t>
            </w:r>
            <w:r w:rsidR="00673377">
              <w:t>child protection practitioners</w:t>
            </w:r>
          </w:p>
        </w:tc>
      </w:tr>
      <w:tr w:rsidR="00AD784C" w:rsidTr="002B0D13">
        <w:trPr>
          <w:trHeight w:hRule="exact" w:val="782"/>
        </w:trPr>
        <w:tc>
          <w:tcPr>
            <w:tcW w:w="9915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673377" w:rsidP="00673377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If conflict arises in the supervisory relationship</w:t>
            </w:r>
          </w:p>
        </w:tc>
      </w:tr>
    </w:tbl>
    <w:p w:rsidR="006101A3" w:rsidRDefault="006101A3" w:rsidP="00F976B9">
      <w:pPr>
        <w:pStyle w:val="Heading1"/>
        <w:spacing w:before="0"/>
        <w:rPr>
          <w:sz w:val="28"/>
          <w:szCs w:val="28"/>
        </w:rPr>
      </w:pPr>
      <w:bookmarkStart w:id="1" w:name="_Toc440566509"/>
    </w:p>
    <w:p w:rsidR="00573F84" w:rsidRPr="00254937" w:rsidRDefault="00573F84" w:rsidP="00F976B9">
      <w:pPr>
        <w:pStyle w:val="Heading1"/>
        <w:spacing w:before="0"/>
        <w:rPr>
          <w:sz w:val="28"/>
          <w:szCs w:val="28"/>
        </w:rPr>
      </w:pPr>
      <w:r w:rsidRPr="00254937">
        <w:rPr>
          <w:sz w:val="28"/>
          <w:szCs w:val="28"/>
        </w:rPr>
        <w:t>Purpose</w:t>
      </w:r>
    </w:p>
    <w:p w:rsidR="00477C48" w:rsidRDefault="00477C48" w:rsidP="00656793">
      <w:pPr>
        <w:pStyle w:val="DHHSbody"/>
      </w:pPr>
      <w:r w:rsidRPr="00656793">
        <w:t>This document sets out the process for raising and addressing individual workload issues and concerns within the child protection program.</w:t>
      </w:r>
    </w:p>
    <w:p w:rsidR="00477C48" w:rsidRPr="00254937" w:rsidRDefault="00477C48" w:rsidP="00585798">
      <w:pPr>
        <w:pStyle w:val="Heading2"/>
        <w:rPr>
          <w:b w:val="0"/>
        </w:rPr>
      </w:pPr>
      <w:r w:rsidRPr="00254937">
        <w:rPr>
          <w:b w:val="0"/>
        </w:rPr>
        <w:t xml:space="preserve">Supervision </w:t>
      </w:r>
    </w:p>
    <w:p w:rsidR="00656793" w:rsidRDefault="00673377" w:rsidP="00A91CA9">
      <w:pPr>
        <w:pStyle w:val="DHHSbody"/>
      </w:pPr>
      <w:r>
        <w:t xml:space="preserve">Formal individual supervision is the </w:t>
      </w:r>
      <w:r w:rsidRPr="00822B78">
        <w:t>primary</w:t>
      </w:r>
      <w:r>
        <w:t xml:space="preserve"> forum for resolution of </w:t>
      </w:r>
      <w:r w:rsidR="005E2341">
        <w:t>work-related</w:t>
      </w:r>
      <w:r>
        <w:t xml:space="preserve"> issues, work planning, practice review, and professional support and development. Supervision includes workload review and case allocation processes. </w:t>
      </w:r>
    </w:p>
    <w:p w:rsidR="00673377" w:rsidRDefault="00673377" w:rsidP="00A91CA9">
      <w:pPr>
        <w:pStyle w:val="DHHSbody"/>
      </w:pPr>
      <w:r>
        <w:t xml:space="preserve">Supervision where there is unresolved conflict is ineffective, stressful for both supervisor and </w:t>
      </w:r>
      <w:r w:rsidR="00477C48">
        <w:t>practitioner</w:t>
      </w:r>
      <w:r>
        <w:t xml:space="preserve">, and jeopardises team stability and client services. When conflict occurs within the supervisory relationship, the supervisor and </w:t>
      </w:r>
      <w:r w:rsidR="00477C48">
        <w:t>practitioner</w:t>
      </w:r>
      <w:r>
        <w:t xml:space="preserve"> share responsibility to acknowledge the conflict and to take action to resolve the conflict in a timely way. Issues should not be ignored, minimised or avoided.</w:t>
      </w:r>
    </w:p>
    <w:p w:rsidR="00673377" w:rsidRPr="00197F5D" w:rsidRDefault="00673377" w:rsidP="00A91CA9">
      <w:pPr>
        <w:pStyle w:val="DHHSbody"/>
        <w:rPr>
          <w:rFonts w:cs="Arial"/>
        </w:rPr>
      </w:pPr>
      <w:r w:rsidRPr="00721573">
        <w:rPr>
          <w:rFonts w:cs="Arial"/>
        </w:rPr>
        <w:t xml:space="preserve">The supervisor must be mindful of their </w:t>
      </w:r>
      <w:r w:rsidR="00721573" w:rsidRPr="00721573">
        <w:rPr>
          <w:rFonts w:cs="Arial"/>
        </w:rPr>
        <w:t xml:space="preserve">responsibilities </w:t>
      </w:r>
      <w:r w:rsidRPr="00721573">
        <w:rPr>
          <w:rFonts w:cs="Arial"/>
        </w:rPr>
        <w:t xml:space="preserve">within the supervisory relationship and acknowledge that </w:t>
      </w:r>
      <w:r w:rsidR="005D34EA">
        <w:rPr>
          <w:rFonts w:cs="Arial"/>
        </w:rPr>
        <w:t>practitioners</w:t>
      </w:r>
      <w:r w:rsidRPr="00721573">
        <w:rPr>
          <w:rFonts w:cs="Arial"/>
        </w:rPr>
        <w:t xml:space="preserve"> may require support </w:t>
      </w:r>
      <w:r w:rsidR="00822B78">
        <w:rPr>
          <w:rFonts w:cs="Arial"/>
        </w:rPr>
        <w:t xml:space="preserve">and </w:t>
      </w:r>
      <w:r w:rsidR="00477C48">
        <w:rPr>
          <w:rFonts w:cs="Arial"/>
        </w:rPr>
        <w:t>be enabled</w:t>
      </w:r>
      <w:r w:rsidRPr="00721573">
        <w:rPr>
          <w:rFonts w:cs="Arial"/>
        </w:rPr>
        <w:t xml:space="preserve"> to raise issues including workload concerns.</w:t>
      </w:r>
      <w:r w:rsidR="00197F5D">
        <w:rPr>
          <w:rFonts w:cs="Arial"/>
        </w:rPr>
        <w:t xml:space="preserve">  </w:t>
      </w:r>
      <w:r w:rsidRPr="00197F5D">
        <w:rPr>
          <w:rFonts w:cs="Arial"/>
        </w:rPr>
        <w:t xml:space="preserve">Where a workload or other issue is not quickly and satisfactorily resolved between the supervisor and </w:t>
      </w:r>
      <w:r w:rsidR="005D34EA">
        <w:rPr>
          <w:rFonts w:cs="Arial"/>
        </w:rPr>
        <w:t>the practitioner</w:t>
      </w:r>
      <w:r w:rsidRPr="00197F5D">
        <w:rPr>
          <w:rFonts w:cs="Arial"/>
        </w:rPr>
        <w:t>,</w:t>
      </w:r>
      <w:r w:rsidR="00053846" w:rsidRPr="00197F5D">
        <w:rPr>
          <w:rFonts w:cs="Arial"/>
        </w:rPr>
        <w:t xml:space="preserve"> </w:t>
      </w:r>
      <w:r w:rsidRPr="00197F5D">
        <w:rPr>
          <w:rFonts w:cs="Arial"/>
        </w:rPr>
        <w:t>other approaches may include:</w:t>
      </w:r>
    </w:p>
    <w:p w:rsidR="00673377" w:rsidRPr="00197F5D" w:rsidRDefault="00673377" w:rsidP="001D0533">
      <w:pPr>
        <w:pStyle w:val="DHHSbullet1"/>
        <w:spacing w:after="120"/>
        <w:rPr>
          <w:rFonts w:cs="Arial"/>
        </w:rPr>
      </w:pPr>
      <w:r w:rsidRPr="00197F5D">
        <w:rPr>
          <w:rFonts w:cs="Arial"/>
        </w:rPr>
        <w:t>engaging a peer or more senior practitioner to assist resolution of the problem</w:t>
      </w:r>
      <w:r w:rsidR="001D0533" w:rsidRPr="00197F5D">
        <w:rPr>
          <w:rFonts w:cs="Arial"/>
        </w:rPr>
        <w:t>;</w:t>
      </w:r>
    </w:p>
    <w:p w:rsidR="00376693" w:rsidRDefault="00673377" w:rsidP="001D0533">
      <w:pPr>
        <w:pStyle w:val="DHHSbullet1lastline"/>
      </w:pPr>
      <w:r w:rsidRPr="00673377">
        <w:t>involving the supervisor’s manager to facili</w:t>
      </w:r>
      <w:r w:rsidR="001D0533">
        <w:t>tate an agreed plan and outcome;</w:t>
      </w:r>
    </w:p>
    <w:p w:rsidR="00673377" w:rsidRPr="00673377" w:rsidRDefault="00673377" w:rsidP="001D0533">
      <w:pPr>
        <w:pStyle w:val="DHHSbullet1lastline"/>
      </w:pPr>
      <w:r w:rsidRPr="00673377">
        <w:t xml:space="preserve">seeking </w:t>
      </w:r>
      <w:r w:rsidR="00822B78">
        <w:t>advice from People and Culture</w:t>
      </w:r>
      <w:r w:rsidRPr="00673377">
        <w:t xml:space="preserve"> in consultation with the supervisor’s manager.</w:t>
      </w:r>
    </w:p>
    <w:p w:rsidR="00673377" w:rsidRPr="00A91CA9" w:rsidRDefault="00673377" w:rsidP="00A91CA9">
      <w:pPr>
        <w:pStyle w:val="DHHSbody"/>
      </w:pPr>
      <w:r w:rsidRPr="00A91CA9">
        <w:t>Where conflict interferes with the supervisory relationship on a continuing basis, the supervisor's line manager must be informed and act to ensure that each party receives effective supervision, support and direction during the resolution period.</w:t>
      </w:r>
    </w:p>
    <w:p w:rsidR="00673377" w:rsidRDefault="00673377" w:rsidP="00A91CA9">
      <w:pPr>
        <w:pStyle w:val="DHHSbody"/>
      </w:pPr>
      <w:r w:rsidRPr="00A91CA9">
        <w:t>At any point</w:t>
      </w:r>
      <w:r w:rsidR="00376693" w:rsidRPr="00A91CA9">
        <w:t>,</w:t>
      </w:r>
      <w:r w:rsidRPr="00A91CA9">
        <w:t xml:space="preserve"> a practitioner who is not satisfied with their supervisor’s response to their concern</w:t>
      </w:r>
      <w:r w:rsidR="001D0533" w:rsidRPr="00A91CA9">
        <w:t>,</w:t>
      </w:r>
      <w:r w:rsidRPr="00A91CA9">
        <w:t xml:space="preserve"> or who feels unable to raise a workload or other significant issue of concern with their supervisor</w:t>
      </w:r>
      <w:r w:rsidR="001D0533" w:rsidRPr="00A91CA9">
        <w:t>,</w:t>
      </w:r>
      <w:r w:rsidRPr="00A91CA9">
        <w:t xml:space="preserve"> may access the issue reso</w:t>
      </w:r>
      <w:r w:rsidR="006E0344">
        <w:t>lution process below by raising their concerns to</w:t>
      </w:r>
      <w:r w:rsidRPr="00A91CA9">
        <w:t xml:space="preserve"> the supervisor’s line manager or requesting the assistance of a peer or workplace representative.</w:t>
      </w:r>
    </w:p>
    <w:bookmarkEnd w:id="1"/>
    <w:p w:rsidR="00A62D44" w:rsidRPr="00656793" w:rsidRDefault="00673377" w:rsidP="00F976B9">
      <w:pPr>
        <w:pStyle w:val="Heading2"/>
        <w:rPr>
          <w:b w:val="0"/>
        </w:rPr>
      </w:pPr>
      <w:r w:rsidRPr="00656793">
        <w:rPr>
          <w:b w:val="0"/>
        </w:rPr>
        <w:t>Operating principles</w:t>
      </w:r>
    </w:p>
    <w:p w:rsidR="00673377" w:rsidRDefault="00673377" w:rsidP="00A91CA9">
      <w:pPr>
        <w:pStyle w:val="DHHSbullet1"/>
      </w:pPr>
      <w:r>
        <w:t>DHHS operates in the context of a safe and policy-aware workplace culture</w:t>
      </w:r>
    </w:p>
    <w:p w:rsidR="00673377" w:rsidRDefault="00673377" w:rsidP="00A91CA9">
      <w:pPr>
        <w:pStyle w:val="DHHSbullet1"/>
      </w:pPr>
      <w:r>
        <w:t xml:space="preserve">Supervision is a shared responsibility between </w:t>
      </w:r>
      <w:r w:rsidR="005D34EA">
        <w:t xml:space="preserve">practitioner </w:t>
      </w:r>
      <w:r>
        <w:t>and supervisor</w:t>
      </w:r>
    </w:p>
    <w:p w:rsidR="00673377" w:rsidRDefault="00673377" w:rsidP="00A91CA9">
      <w:pPr>
        <w:pStyle w:val="DHHSbullet1"/>
      </w:pPr>
      <w:r>
        <w:t xml:space="preserve">Supervisors have lead responsibility to ensure that </w:t>
      </w:r>
      <w:r w:rsidR="005D34EA">
        <w:t>practitioners</w:t>
      </w:r>
      <w:r>
        <w:t xml:space="preserve"> have a safe and manageable workload</w:t>
      </w:r>
    </w:p>
    <w:p w:rsidR="00673377" w:rsidRDefault="00673377" w:rsidP="00A91CA9">
      <w:pPr>
        <w:pStyle w:val="DHHSbullet1"/>
      </w:pPr>
      <w:r>
        <w:t xml:space="preserve">Available tools and data reporting </w:t>
      </w:r>
      <w:r w:rsidR="005E2341">
        <w:t>are</w:t>
      </w:r>
      <w:r>
        <w:t xml:space="preserve"> used to support safe and equitable workload management and to highlight issues</w:t>
      </w:r>
    </w:p>
    <w:p w:rsidR="00673377" w:rsidRDefault="00822B78" w:rsidP="00A91CA9">
      <w:pPr>
        <w:pStyle w:val="DHHSbullet1"/>
      </w:pPr>
      <w:r>
        <w:t>Employees</w:t>
      </w:r>
      <w:r w:rsidR="00673377">
        <w:t xml:space="preserve"> are enabled and encouraged to raise workplace concerns in an appropriate</w:t>
      </w:r>
      <w:r w:rsidR="00376693">
        <w:t>,</w:t>
      </w:r>
      <w:r w:rsidR="00673377">
        <w:t xml:space="preserve"> professional</w:t>
      </w:r>
      <w:r w:rsidR="00376693">
        <w:t>, and</w:t>
      </w:r>
      <w:r w:rsidR="00673377">
        <w:t xml:space="preserve"> transparent manner</w:t>
      </w:r>
    </w:p>
    <w:p w:rsidR="00673377" w:rsidRDefault="00673377" w:rsidP="00A91CA9">
      <w:pPr>
        <w:pStyle w:val="DHHSbullet1"/>
      </w:pPr>
      <w:r>
        <w:lastRenderedPageBreak/>
        <w:t>Concerns are managed through formal, documented processes which are timely, respectful, solution-focused and strengths-based</w:t>
      </w:r>
    </w:p>
    <w:p w:rsidR="00673377" w:rsidRDefault="00673377" w:rsidP="00A91CA9">
      <w:pPr>
        <w:pStyle w:val="DHHSbullet1"/>
      </w:pPr>
      <w:r>
        <w:t>Issues are managed in a non-blaming and non-punitive way</w:t>
      </w:r>
    </w:p>
    <w:p w:rsidR="00673377" w:rsidRDefault="00673377" w:rsidP="00A91CA9">
      <w:pPr>
        <w:pStyle w:val="DHHSbullet1"/>
      </w:pPr>
      <w:r>
        <w:t>Privacy is respected</w:t>
      </w:r>
    </w:p>
    <w:p w:rsidR="00673377" w:rsidRDefault="00673377" w:rsidP="00A91CA9">
      <w:pPr>
        <w:pStyle w:val="DHHSbullet1"/>
      </w:pPr>
      <w:r>
        <w:t>Service delivery and client best interests are prioritised</w:t>
      </w:r>
    </w:p>
    <w:p w:rsidR="00673377" w:rsidRDefault="00673377" w:rsidP="00A91CA9">
      <w:pPr>
        <w:pStyle w:val="DHHSbullet1"/>
      </w:pPr>
      <w:r>
        <w:t>Outcomes and plans are documented and reviewed.</w:t>
      </w:r>
    </w:p>
    <w:p w:rsidR="00673377" w:rsidRPr="00656793" w:rsidRDefault="00A91CA9" w:rsidP="00673377">
      <w:pPr>
        <w:pStyle w:val="Heading2"/>
        <w:rPr>
          <w:b w:val="0"/>
        </w:rPr>
      </w:pPr>
      <w:r w:rsidRPr="00656793">
        <w:rPr>
          <w:b w:val="0"/>
        </w:rPr>
        <w:t>Individual w</w:t>
      </w:r>
      <w:r w:rsidR="00673377" w:rsidRPr="00656793">
        <w:rPr>
          <w:b w:val="0"/>
        </w:rPr>
        <w:t>orkload issues</w:t>
      </w:r>
      <w:r w:rsidRPr="00656793">
        <w:rPr>
          <w:b w:val="0"/>
        </w:rPr>
        <w:t xml:space="preserve"> and</w:t>
      </w:r>
      <w:r w:rsidR="00673377" w:rsidRPr="00656793">
        <w:rPr>
          <w:b w:val="0"/>
        </w:rPr>
        <w:t xml:space="preserve"> resolution process</w:t>
      </w:r>
      <w:r w:rsidR="00673377" w:rsidRPr="00656793">
        <w:rPr>
          <w:rStyle w:val="FootnoteReference"/>
          <w:b w:val="0"/>
        </w:rPr>
        <w:footnoteReference w:id="1"/>
      </w:r>
    </w:p>
    <w:p w:rsidR="00656793" w:rsidRDefault="00D203E4" w:rsidP="00A91CA9">
      <w:pPr>
        <w:pStyle w:val="DHHSbody"/>
      </w:pPr>
      <w:bookmarkStart w:id="2" w:name="_Toc256778633"/>
      <w:r w:rsidRPr="00822B78">
        <w:t>Workload issues</w:t>
      </w:r>
      <w:r w:rsidR="00C535D2" w:rsidRPr="00822B78">
        <w:t xml:space="preserve"> across the C</w:t>
      </w:r>
      <w:r w:rsidR="00656793">
        <w:t>hild Protection</w:t>
      </w:r>
      <w:r w:rsidR="00C535D2" w:rsidRPr="00822B78">
        <w:t xml:space="preserve"> program</w:t>
      </w:r>
      <w:r w:rsidRPr="00822B78">
        <w:t xml:space="preserve"> are monitored and addressed via the department’s </w:t>
      </w:r>
      <w:r w:rsidR="00822B78">
        <w:t>Ar</w:t>
      </w:r>
      <w:r w:rsidRPr="00822B78">
        <w:t>ea</w:t>
      </w:r>
      <w:r w:rsidR="00822B78">
        <w:t xml:space="preserve"> </w:t>
      </w:r>
      <w:r w:rsidR="00A56958">
        <w:t>c</w:t>
      </w:r>
      <w:r w:rsidR="00822B78">
        <w:t xml:space="preserve">hild </w:t>
      </w:r>
      <w:r w:rsidR="00A56958">
        <w:t>p</w:t>
      </w:r>
      <w:r w:rsidR="00822B78">
        <w:t>rotection</w:t>
      </w:r>
      <w:r w:rsidR="00656793">
        <w:t xml:space="preserve"> </w:t>
      </w:r>
      <w:r w:rsidRPr="00822B78">
        <w:rPr>
          <w:i/>
        </w:rPr>
        <w:t>Workload Review and Monitoring Panels</w:t>
      </w:r>
      <w:r w:rsidRPr="00822B78">
        <w:t xml:space="preserve">, however individual requests for workload reviews are not managed by the panels.  </w:t>
      </w:r>
    </w:p>
    <w:p w:rsidR="00D203E4" w:rsidRPr="00822B78" w:rsidRDefault="00D203E4" w:rsidP="00A91CA9">
      <w:pPr>
        <w:pStyle w:val="DHHSbody"/>
      </w:pPr>
      <w:r w:rsidRPr="00822B78">
        <w:t>Individual workload issues are addressed through the supervision process.</w:t>
      </w:r>
    </w:p>
    <w:p w:rsidR="00721573" w:rsidRPr="00822B78" w:rsidRDefault="00721573" w:rsidP="00A91CA9">
      <w:pPr>
        <w:pStyle w:val="DHHSbody"/>
        <w:rPr>
          <w:b/>
          <w:i/>
        </w:rPr>
      </w:pPr>
      <w:r w:rsidRPr="00822B78">
        <w:t xml:space="preserve">The department </w:t>
      </w:r>
      <w:r w:rsidR="00C535D2" w:rsidRPr="00822B78">
        <w:t xml:space="preserve">also </w:t>
      </w:r>
      <w:r w:rsidRPr="00822B78">
        <w:t xml:space="preserve">has </w:t>
      </w:r>
      <w:proofErr w:type="gramStart"/>
      <w:r w:rsidRPr="00822B78">
        <w:t>a number of</w:t>
      </w:r>
      <w:proofErr w:type="gramEnd"/>
      <w:r w:rsidRPr="00822B78">
        <w:t xml:space="preserve"> workplace issues resolution processes to support employees to raise issues formally.</w:t>
      </w:r>
      <w:r w:rsidR="00D203E4" w:rsidRPr="00822B78">
        <w:t xml:space="preserve">  These include the </w:t>
      </w:r>
      <w:r w:rsidR="00D203E4" w:rsidRPr="00822B78">
        <w:rPr>
          <w:i/>
        </w:rPr>
        <w:t>Positive and Fair Workplaces Policy</w:t>
      </w:r>
      <w:r w:rsidR="00D203E4" w:rsidRPr="00822B78">
        <w:t xml:space="preserve"> and the </w:t>
      </w:r>
      <w:r w:rsidR="00D203E4" w:rsidRPr="00822B78">
        <w:rPr>
          <w:i/>
        </w:rPr>
        <w:t>Review of Actions policy.</w:t>
      </w:r>
    </w:p>
    <w:p w:rsidR="00721573" w:rsidRPr="00822B78" w:rsidRDefault="00721573" w:rsidP="00A91CA9">
      <w:pPr>
        <w:pStyle w:val="DHHSbody"/>
      </w:pPr>
      <w:r w:rsidRPr="00822B78">
        <w:t>It i</w:t>
      </w:r>
      <w:r w:rsidR="00E10E67" w:rsidRPr="00822B78">
        <w:t>s recommended that employee</w:t>
      </w:r>
      <w:r w:rsidRPr="00822B78">
        <w:t>s and manager</w:t>
      </w:r>
      <w:r w:rsidR="00D203E4" w:rsidRPr="00822B78">
        <w:t>s</w:t>
      </w:r>
      <w:r w:rsidRPr="00822B78">
        <w:t xml:space="preserve"> work together to try to resolve issues early and locally to prevent matters escalating and </w:t>
      </w:r>
      <w:r w:rsidR="00C535D2" w:rsidRPr="00822B78">
        <w:t>requiring</w:t>
      </w:r>
      <w:r w:rsidRPr="00822B78">
        <w:t xml:space="preserve"> referral to a formal process</w:t>
      </w:r>
      <w:r w:rsidR="00D203E4" w:rsidRPr="00822B78">
        <w:t>,</w:t>
      </w:r>
      <w:r w:rsidRPr="00822B78">
        <w:t xml:space="preserve"> where possible.</w:t>
      </w:r>
    </w:p>
    <w:p w:rsidR="00822B78" w:rsidRDefault="00656793" w:rsidP="00A91CA9">
      <w:pPr>
        <w:pStyle w:val="DHHSbody"/>
      </w:pPr>
      <w:r>
        <w:t xml:space="preserve">The following are </w:t>
      </w:r>
      <w:r w:rsidR="00721573" w:rsidRPr="00822B78">
        <w:t xml:space="preserve">recommended steps to addressing </w:t>
      </w:r>
      <w:r w:rsidR="00822B78">
        <w:t xml:space="preserve">individual </w:t>
      </w:r>
      <w:r w:rsidR="00721573" w:rsidRPr="00822B78">
        <w:t xml:space="preserve">workload concerns, including an escalation process where a mutually satisfactory outcome </w:t>
      </w:r>
      <w:r w:rsidR="00D203E4" w:rsidRPr="00822B78">
        <w:t>has not</w:t>
      </w:r>
      <w:r w:rsidR="00721573" w:rsidRPr="00822B78">
        <w:t xml:space="preserve"> </w:t>
      </w:r>
      <w:r w:rsidR="00A56259" w:rsidRPr="00822B78">
        <w:t>been</w:t>
      </w:r>
      <w:r w:rsidR="00721573" w:rsidRPr="00822B78">
        <w:t xml:space="preserve"> achieved.</w:t>
      </w:r>
    </w:p>
    <w:p w:rsidR="007A3BBD" w:rsidRPr="007A3BBD" w:rsidRDefault="00673377" w:rsidP="007A3BBD">
      <w:pPr>
        <w:pStyle w:val="Heading2"/>
        <w:rPr>
          <w:b w:val="0"/>
        </w:rPr>
      </w:pPr>
      <w:r w:rsidRPr="007A3BBD">
        <w:rPr>
          <w:b w:val="0"/>
        </w:rPr>
        <w:t xml:space="preserve">Stage 1. </w:t>
      </w:r>
      <w:bookmarkEnd w:id="2"/>
    </w:p>
    <w:p w:rsidR="00BC7ED7" w:rsidRPr="00254937" w:rsidRDefault="00673377" w:rsidP="00254937">
      <w:pPr>
        <w:pStyle w:val="Heading2"/>
        <w:rPr>
          <w:b w:val="0"/>
          <w:sz w:val="24"/>
          <w:szCs w:val="24"/>
        </w:rPr>
      </w:pPr>
      <w:r w:rsidRPr="00254937">
        <w:rPr>
          <w:b w:val="0"/>
          <w:sz w:val="24"/>
          <w:szCs w:val="24"/>
        </w:rPr>
        <w:t xml:space="preserve">Workload or other significant issue is raised by </w:t>
      </w:r>
      <w:r w:rsidR="00573F84" w:rsidRPr="00254937">
        <w:rPr>
          <w:b w:val="0"/>
          <w:sz w:val="24"/>
          <w:szCs w:val="24"/>
        </w:rPr>
        <w:t xml:space="preserve">the practitioner </w:t>
      </w:r>
      <w:r w:rsidRPr="00254937">
        <w:rPr>
          <w:b w:val="0"/>
          <w:sz w:val="24"/>
          <w:szCs w:val="24"/>
        </w:rPr>
        <w:t>within formal supervision and is effectively resolved.</w:t>
      </w:r>
    </w:p>
    <w:p w:rsidR="00656793" w:rsidRPr="00484580" w:rsidRDefault="00673377" w:rsidP="00A56958">
      <w:pPr>
        <w:pStyle w:val="DHHSbody"/>
        <w:rPr>
          <w:b/>
          <w:u w:val="single"/>
        </w:rPr>
      </w:pPr>
      <w:r w:rsidRPr="00484580">
        <w:rPr>
          <w:b/>
          <w:u w:val="single"/>
        </w:rPr>
        <w:t xml:space="preserve">Matter is resolved </w:t>
      </w:r>
    </w:p>
    <w:p w:rsidR="00673377" w:rsidRPr="00484580" w:rsidRDefault="00673377" w:rsidP="00A56958">
      <w:pPr>
        <w:pStyle w:val="DHHSbody"/>
      </w:pPr>
      <w:r w:rsidRPr="00484580">
        <w:t>N</w:t>
      </w:r>
      <w:r w:rsidR="00BF69FF" w:rsidRPr="00484580">
        <w:t>o further action</w:t>
      </w:r>
      <w:r w:rsidRPr="00484580">
        <w:t xml:space="preserve"> – </w:t>
      </w:r>
      <w:r w:rsidR="00077094" w:rsidRPr="00484580">
        <w:t xml:space="preserve">communicate the outcome to the practitioner.  </w:t>
      </w:r>
      <w:r w:rsidRPr="00484580">
        <w:t>Subject to ongoing monitoring and review within supervision, supported by use of supervision tool.</w:t>
      </w:r>
    </w:p>
    <w:p w:rsidR="007A3BBD" w:rsidRPr="007A3BBD" w:rsidRDefault="00673377" w:rsidP="007A3BBD">
      <w:pPr>
        <w:pStyle w:val="Heading2"/>
        <w:rPr>
          <w:b w:val="0"/>
        </w:rPr>
      </w:pPr>
      <w:r w:rsidRPr="007A3BBD">
        <w:rPr>
          <w:b w:val="0"/>
        </w:rPr>
        <w:t xml:space="preserve">Stage 2. </w:t>
      </w:r>
    </w:p>
    <w:p w:rsidR="00673377" w:rsidRPr="00254937" w:rsidRDefault="00673377" w:rsidP="00254937">
      <w:pPr>
        <w:pStyle w:val="Heading2"/>
        <w:rPr>
          <w:b w:val="0"/>
          <w:sz w:val="24"/>
          <w:szCs w:val="24"/>
        </w:rPr>
      </w:pPr>
      <w:r w:rsidRPr="00254937">
        <w:rPr>
          <w:b w:val="0"/>
          <w:sz w:val="24"/>
          <w:szCs w:val="24"/>
        </w:rPr>
        <w:t xml:space="preserve">Where </w:t>
      </w:r>
      <w:r w:rsidR="00492DB7" w:rsidRPr="00254937">
        <w:rPr>
          <w:b w:val="0"/>
          <w:sz w:val="24"/>
          <w:szCs w:val="24"/>
        </w:rPr>
        <w:t xml:space="preserve">the </w:t>
      </w:r>
      <w:r w:rsidRPr="00254937">
        <w:rPr>
          <w:b w:val="0"/>
          <w:sz w:val="24"/>
          <w:szCs w:val="24"/>
        </w:rPr>
        <w:t xml:space="preserve">matter is not resolved in a mutually satisfactory, timely and sustainable way, or where the </w:t>
      </w:r>
      <w:r w:rsidR="005D34EA" w:rsidRPr="00254937">
        <w:rPr>
          <w:b w:val="0"/>
          <w:sz w:val="24"/>
          <w:szCs w:val="24"/>
        </w:rPr>
        <w:t>practitioner</w:t>
      </w:r>
      <w:r w:rsidRPr="00254937">
        <w:rPr>
          <w:b w:val="0"/>
          <w:sz w:val="24"/>
          <w:szCs w:val="24"/>
        </w:rPr>
        <w:t xml:space="preserve"> requires third party support they may:</w:t>
      </w:r>
    </w:p>
    <w:p w:rsidR="00A56958" w:rsidRPr="007A3BBD" w:rsidRDefault="00673377" w:rsidP="007A3BBD">
      <w:pPr>
        <w:pStyle w:val="DHHSbullet1"/>
      </w:pPr>
      <w:r w:rsidRPr="007A3BBD">
        <w:t xml:space="preserve">Request the assistance of a colleague (workplace peer) or workplace representative (for example the Workload </w:t>
      </w:r>
      <w:r w:rsidR="005D34EA" w:rsidRPr="007A3BBD">
        <w:t>Review and Monitoring</w:t>
      </w:r>
      <w:r w:rsidRPr="007A3BBD">
        <w:t xml:space="preserve"> Panel representative or other team member; union representative) and/or</w:t>
      </w:r>
      <w:r w:rsidR="00822B78" w:rsidRPr="007A3BBD">
        <w:t>;</w:t>
      </w:r>
    </w:p>
    <w:p w:rsidR="00376693" w:rsidRPr="007A3BBD" w:rsidRDefault="00673377" w:rsidP="007A3BBD">
      <w:pPr>
        <w:pStyle w:val="DHHSbullet1"/>
      </w:pPr>
      <w:r w:rsidRPr="007A3BBD">
        <w:t>Request involvement of the supervisor’s line-manager.</w:t>
      </w:r>
      <w:r w:rsidR="00376693" w:rsidRPr="007A3BBD">
        <w:t xml:space="preserve"> A practitioner may submit a request for review by the supervisor’s direct line manager via email which should briefly summarise the issue(s).</w:t>
      </w:r>
      <w:r w:rsidR="00BF7887" w:rsidRPr="007A3BBD">
        <w:t xml:space="preserve">  </w:t>
      </w:r>
      <w:r w:rsidR="00A56958" w:rsidRPr="007A3BBD">
        <w:t>Clause 13: Workload, Victorian Public Service Enterprise Agreement 2016</w:t>
      </w:r>
      <w:r w:rsidR="00585798" w:rsidRPr="007A3BBD">
        <w:t xml:space="preserve"> s</w:t>
      </w:r>
      <w:r w:rsidR="00017A37" w:rsidRPr="007A3BBD">
        <w:t xml:space="preserve">ets </w:t>
      </w:r>
      <w:r w:rsidR="00BF7887" w:rsidRPr="007A3BBD">
        <w:t>out the process for employees to request a workload review.</w:t>
      </w:r>
    </w:p>
    <w:p w:rsidR="00673377" w:rsidRPr="007A3BBD" w:rsidRDefault="00673377" w:rsidP="007A3BBD">
      <w:pPr>
        <w:pStyle w:val="DHHSbullet1"/>
      </w:pPr>
      <w:r w:rsidRPr="007A3BBD">
        <w:t xml:space="preserve">Where possible, Stage 2 should occur with </w:t>
      </w:r>
      <w:r w:rsidR="00BE2393" w:rsidRPr="007A3BBD">
        <w:t xml:space="preserve">the </w:t>
      </w:r>
      <w:r w:rsidRPr="007A3BBD">
        <w:t>supervisor’s prior knowledge and agreement though it can be initiated by a practitioner at any time.</w:t>
      </w:r>
    </w:p>
    <w:p w:rsidR="00673377" w:rsidRPr="007A3BBD" w:rsidRDefault="009D0569" w:rsidP="007A3BBD">
      <w:pPr>
        <w:pStyle w:val="DHHSbullet1"/>
      </w:pPr>
      <w:r w:rsidRPr="007A3BBD">
        <w:t>The line-manager</w:t>
      </w:r>
      <w:r w:rsidR="00673377" w:rsidRPr="007A3BBD">
        <w:t xml:space="preserve"> will undertake</w:t>
      </w:r>
      <w:r w:rsidR="00400AE6" w:rsidRPr="007A3BBD">
        <w:t xml:space="preserve"> a</w:t>
      </w:r>
      <w:r w:rsidR="00673377" w:rsidRPr="007A3BBD">
        <w:t xml:space="preserve"> review, including meetings and use of data as appropriate (e</w:t>
      </w:r>
      <w:r w:rsidR="00822B78" w:rsidRPr="007A3BBD">
        <w:t>.</w:t>
      </w:r>
      <w:r w:rsidR="00673377" w:rsidRPr="007A3BBD">
        <w:t>g</w:t>
      </w:r>
      <w:r w:rsidR="00822B78" w:rsidRPr="007A3BBD">
        <w:t>.</w:t>
      </w:r>
      <w:r w:rsidR="00673377" w:rsidRPr="007A3BBD">
        <w:t xml:space="preserve"> CRT</w:t>
      </w:r>
      <w:r w:rsidR="00A56259" w:rsidRPr="007A3BBD">
        <w:t>, Qlikview</w:t>
      </w:r>
      <w:r w:rsidR="00673377" w:rsidRPr="007A3BBD">
        <w:t xml:space="preserve"> report). </w:t>
      </w:r>
      <w:r w:rsidR="00400AE6" w:rsidRPr="007A3BBD">
        <w:t xml:space="preserve"> </w:t>
      </w:r>
      <w:r w:rsidR="00017A37" w:rsidRPr="007A3BBD">
        <w:t xml:space="preserve">This review may also </w:t>
      </w:r>
      <w:proofErr w:type="gramStart"/>
      <w:r w:rsidR="00017A37" w:rsidRPr="007A3BBD">
        <w:t>take into account</w:t>
      </w:r>
      <w:proofErr w:type="gramEnd"/>
      <w:r w:rsidR="00017A37" w:rsidRPr="007A3BBD">
        <w:t>: case mix,</w:t>
      </w:r>
      <w:r w:rsidR="00585798" w:rsidRPr="007A3BBD">
        <w:t xml:space="preserve"> complexity, intensity, and </w:t>
      </w:r>
      <w:r w:rsidR="00017A37" w:rsidRPr="007A3BBD">
        <w:t>court active cases.  It may include the number of children involved in sibling groups</w:t>
      </w:r>
      <w:r w:rsidR="00585798" w:rsidRPr="007A3BBD">
        <w:t xml:space="preserve">, and </w:t>
      </w:r>
      <w:r w:rsidR="00017A37" w:rsidRPr="007A3BBD">
        <w:t xml:space="preserve">health and safety issues associated with individual cases.  </w:t>
      </w:r>
      <w:r w:rsidR="00400AE6" w:rsidRPr="007A3BBD">
        <w:t>The r</w:t>
      </w:r>
      <w:r w:rsidR="00673377" w:rsidRPr="007A3BBD">
        <w:t>eviewer will consult others as may be necessary</w:t>
      </w:r>
      <w:r w:rsidRPr="007A3BBD">
        <w:t>, propose a recommended resolution to the practitioner and supervisor,</w:t>
      </w:r>
      <w:r w:rsidR="00673377" w:rsidRPr="007A3BBD">
        <w:t xml:space="preserve"> and will document the outcome of the review.</w:t>
      </w:r>
    </w:p>
    <w:p w:rsidR="00656793" w:rsidRPr="00484580" w:rsidRDefault="00DA64D0" w:rsidP="00A56958">
      <w:pPr>
        <w:pStyle w:val="DHHSbody"/>
        <w:rPr>
          <w:b/>
          <w:u w:val="single"/>
        </w:rPr>
      </w:pPr>
      <w:r w:rsidRPr="00484580">
        <w:rPr>
          <w:b/>
          <w:u w:val="single"/>
        </w:rPr>
        <w:t>Matter is resolved</w:t>
      </w:r>
      <w:r w:rsidR="00656793" w:rsidRPr="00484580">
        <w:rPr>
          <w:b/>
          <w:u w:val="single"/>
        </w:rPr>
        <w:t xml:space="preserve"> </w:t>
      </w:r>
    </w:p>
    <w:p w:rsidR="00DA64D0" w:rsidRPr="00484580" w:rsidRDefault="00DA64D0" w:rsidP="00A56958">
      <w:pPr>
        <w:pStyle w:val="DHHSbody"/>
      </w:pPr>
      <w:r w:rsidRPr="00484580">
        <w:lastRenderedPageBreak/>
        <w:t>N</w:t>
      </w:r>
      <w:r w:rsidR="00BF69FF" w:rsidRPr="00484580">
        <w:t>o further action</w:t>
      </w:r>
      <w:r w:rsidRPr="00484580">
        <w:t xml:space="preserve"> – </w:t>
      </w:r>
      <w:r w:rsidR="00077094" w:rsidRPr="00484580">
        <w:t xml:space="preserve">communicate the outcome to the practitioner.  </w:t>
      </w:r>
      <w:r w:rsidRPr="00484580">
        <w:t xml:space="preserve">Subject to ongoing monitoring and review within supervision (with or without progress reporting </w:t>
      </w:r>
      <w:r w:rsidR="009D0569" w:rsidRPr="00484580">
        <w:t>to the line-</w:t>
      </w:r>
      <w:r w:rsidRPr="00484580">
        <w:t>manager) supported by use of supervision tool.</w:t>
      </w:r>
    </w:p>
    <w:p w:rsidR="007A3BBD" w:rsidRPr="007A3BBD" w:rsidRDefault="00786C41" w:rsidP="007A3BBD">
      <w:pPr>
        <w:pStyle w:val="Heading2"/>
        <w:rPr>
          <w:b w:val="0"/>
        </w:rPr>
      </w:pPr>
      <w:r w:rsidRPr="007A3BBD">
        <w:rPr>
          <w:b w:val="0"/>
        </w:rPr>
        <w:t xml:space="preserve">Stage 3. </w:t>
      </w:r>
    </w:p>
    <w:p w:rsidR="00381074" w:rsidRPr="00254937" w:rsidRDefault="00786C41" w:rsidP="00254937">
      <w:pPr>
        <w:pStyle w:val="Heading2"/>
        <w:rPr>
          <w:b w:val="0"/>
        </w:rPr>
      </w:pPr>
      <w:r w:rsidRPr="00254937">
        <w:rPr>
          <w:b w:val="0"/>
        </w:rPr>
        <w:t>Matter is referred t</w:t>
      </w:r>
      <w:r w:rsidR="00381074" w:rsidRPr="00254937">
        <w:rPr>
          <w:b w:val="0"/>
        </w:rPr>
        <w:t>o a People and Culture representative for advice and support:</w:t>
      </w:r>
    </w:p>
    <w:p w:rsidR="00E10E67" w:rsidRPr="002612BB" w:rsidRDefault="00E10E67" w:rsidP="007A3BBD">
      <w:pPr>
        <w:pStyle w:val="DHHSbullet1"/>
      </w:pPr>
      <w:r w:rsidRPr="002612BB">
        <w:t>Addition</w:t>
      </w:r>
      <w:r w:rsidR="00492DB7" w:rsidRPr="002612BB">
        <w:t>al</w:t>
      </w:r>
      <w:r w:rsidRPr="002612BB">
        <w:t xml:space="preserve"> advice and support should be sort from People and Culture where </w:t>
      </w:r>
      <w:r w:rsidR="002612BB">
        <w:t xml:space="preserve">the </w:t>
      </w:r>
      <w:r w:rsidRPr="002612BB">
        <w:t>manager</w:t>
      </w:r>
      <w:r w:rsidR="002612BB">
        <w:t>/</w:t>
      </w:r>
      <w:r w:rsidRPr="002612BB">
        <w:t xml:space="preserve">s and employee are not able to resolve </w:t>
      </w:r>
      <w:r w:rsidR="00585798" w:rsidRPr="002612BB">
        <w:t>issues</w:t>
      </w:r>
      <w:r w:rsidR="00585798">
        <w:t xml:space="preserve"> or</w:t>
      </w:r>
      <w:r w:rsidRPr="002612BB">
        <w:t xml:space="preserve"> have other concerns or questions.</w:t>
      </w:r>
    </w:p>
    <w:p w:rsidR="00492DB7" w:rsidRPr="002612BB" w:rsidRDefault="00492DB7" w:rsidP="007A3BBD">
      <w:pPr>
        <w:pStyle w:val="DHHSbullet1"/>
      </w:pPr>
      <w:r w:rsidRPr="002612BB">
        <w:t xml:space="preserve">The </w:t>
      </w:r>
      <w:r w:rsidR="00381074" w:rsidRPr="002612BB">
        <w:t xml:space="preserve">People and </w:t>
      </w:r>
      <w:r w:rsidRPr="002612BB">
        <w:t>C</w:t>
      </w:r>
      <w:r w:rsidR="00381074" w:rsidRPr="002612BB">
        <w:t>ulture</w:t>
      </w:r>
      <w:r w:rsidR="00786C41" w:rsidRPr="002612BB">
        <w:t xml:space="preserve"> </w:t>
      </w:r>
      <w:r w:rsidRPr="002612BB">
        <w:t xml:space="preserve">representative </w:t>
      </w:r>
      <w:r w:rsidR="00786C41" w:rsidRPr="002612BB">
        <w:t xml:space="preserve">will </w:t>
      </w:r>
      <w:r w:rsidR="00381074" w:rsidRPr="002612BB">
        <w:t>consider the actions undertak</w:t>
      </w:r>
      <w:r w:rsidR="00E10E67" w:rsidRPr="002612BB">
        <w:t>en locally to resolve the issue</w:t>
      </w:r>
      <w:r w:rsidR="002612BB">
        <w:t>/s</w:t>
      </w:r>
      <w:r w:rsidR="00E10E67" w:rsidRPr="002612BB">
        <w:t xml:space="preserve"> and will</w:t>
      </w:r>
      <w:r w:rsidR="00381074" w:rsidRPr="002612BB">
        <w:t xml:space="preserve"> </w:t>
      </w:r>
      <w:r w:rsidR="00786C41" w:rsidRPr="002612BB">
        <w:t>provide the parties with recommendation</w:t>
      </w:r>
      <w:r w:rsidR="00381074" w:rsidRPr="002612BB">
        <w:t>s</w:t>
      </w:r>
      <w:r w:rsidR="00786C41" w:rsidRPr="002612BB">
        <w:t xml:space="preserve"> to manage and resolve the issue</w:t>
      </w:r>
      <w:r w:rsidR="002612BB">
        <w:t>/s</w:t>
      </w:r>
      <w:r w:rsidR="00786C41" w:rsidRPr="002612BB">
        <w:t xml:space="preserve"> where possible</w:t>
      </w:r>
      <w:r w:rsidR="00381074" w:rsidRPr="002612BB">
        <w:t xml:space="preserve">.  </w:t>
      </w:r>
    </w:p>
    <w:p w:rsidR="00400AE6" w:rsidRDefault="00381074" w:rsidP="007A3BBD">
      <w:pPr>
        <w:pStyle w:val="DHHSbullet1"/>
      </w:pPr>
      <w:r w:rsidRPr="002612BB">
        <w:t>They</w:t>
      </w:r>
      <w:r w:rsidR="00786C41" w:rsidRPr="002612BB">
        <w:t xml:space="preserve"> can </w:t>
      </w:r>
      <w:r w:rsidRPr="002612BB">
        <w:t xml:space="preserve">also </w:t>
      </w:r>
      <w:r w:rsidR="00786C41" w:rsidRPr="002612BB">
        <w:t xml:space="preserve">provide </w:t>
      </w:r>
      <w:r w:rsidRPr="002612BB">
        <w:t>guidance</w:t>
      </w:r>
      <w:r w:rsidR="00786C41" w:rsidRPr="002612BB">
        <w:t xml:space="preserve"> o</w:t>
      </w:r>
      <w:r w:rsidRPr="002612BB">
        <w:t>n</w:t>
      </w:r>
      <w:r w:rsidR="00786C41" w:rsidRPr="002612BB">
        <w:t xml:space="preserve"> when </w:t>
      </w:r>
      <w:r w:rsidRPr="002612BB">
        <w:t xml:space="preserve">a </w:t>
      </w:r>
      <w:r w:rsidR="00786C41" w:rsidRPr="002612BB">
        <w:t xml:space="preserve">matter should be managed under </w:t>
      </w:r>
      <w:r w:rsidRPr="002612BB">
        <w:t xml:space="preserve">other </w:t>
      </w:r>
      <w:r w:rsidR="00786C41" w:rsidRPr="002612BB">
        <w:t>relevant polic</w:t>
      </w:r>
      <w:r w:rsidRPr="002612BB">
        <w:t>ies</w:t>
      </w:r>
      <w:r w:rsidR="00786C41" w:rsidRPr="002612BB">
        <w:t xml:space="preserve"> </w:t>
      </w:r>
      <w:r w:rsidR="00786C41" w:rsidRPr="00400AE6">
        <w:rPr>
          <w:i/>
        </w:rPr>
        <w:t>(</w:t>
      </w:r>
      <w:r w:rsidR="002612BB" w:rsidRPr="00400AE6">
        <w:rPr>
          <w:i/>
        </w:rPr>
        <w:t>M</w:t>
      </w:r>
      <w:r w:rsidR="00786C41" w:rsidRPr="00400AE6">
        <w:rPr>
          <w:i/>
        </w:rPr>
        <w:t>anaging unsatisfactory work performance</w:t>
      </w:r>
      <w:r w:rsidR="00786C41" w:rsidRPr="002612BB">
        <w:t xml:space="preserve">, </w:t>
      </w:r>
      <w:r w:rsidR="002612BB" w:rsidRPr="00400AE6">
        <w:rPr>
          <w:i/>
        </w:rPr>
        <w:t>M</w:t>
      </w:r>
      <w:r w:rsidR="00786C41" w:rsidRPr="00400AE6">
        <w:rPr>
          <w:i/>
        </w:rPr>
        <w:t>anaging employee incapacity</w:t>
      </w:r>
      <w:r w:rsidR="00786C41" w:rsidRPr="002612BB">
        <w:t xml:space="preserve">) or should be referred for formal review </w:t>
      </w:r>
      <w:r w:rsidRPr="002612BB">
        <w:t>via the department</w:t>
      </w:r>
      <w:r w:rsidR="00400AE6">
        <w:t>’</w:t>
      </w:r>
      <w:r w:rsidRPr="002612BB">
        <w:t xml:space="preserve">s </w:t>
      </w:r>
      <w:r w:rsidRPr="00400AE6">
        <w:rPr>
          <w:i/>
        </w:rPr>
        <w:t>Review of actions policy</w:t>
      </w:r>
      <w:r w:rsidRPr="002612BB">
        <w:t xml:space="preserve"> or the </w:t>
      </w:r>
      <w:r w:rsidRPr="00400AE6">
        <w:rPr>
          <w:i/>
        </w:rPr>
        <w:t>Positive and fair workplaces policy</w:t>
      </w:r>
      <w:r w:rsidRPr="002612BB">
        <w:t>.</w:t>
      </w:r>
    </w:p>
    <w:p w:rsidR="00656793" w:rsidRPr="00484580" w:rsidRDefault="002612BB" w:rsidP="00484580">
      <w:pPr>
        <w:pStyle w:val="DHHSbody"/>
        <w:rPr>
          <w:b/>
          <w:u w:val="single"/>
        </w:rPr>
      </w:pPr>
      <w:r w:rsidRPr="00484580">
        <w:rPr>
          <w:b/>
          <w:u w:val="single"/>
        </w:rPr>
        <w:t>M</w:t>
      </w:r>
      <w:r w:rsidR="009353DF" w:rsidRPr="00484580">
        <w:rPr>
          <w:b/>
          <w:u w:val="single"/>
        </w:rPr>
        <w:t>atter is resolved</w:t>
      </w:r>
      <w:r w:rsidR="00656793" w:rsidRPr="00484580">
        <w:rPr>
          <w:b/>
          <w:u w:val="single"/>
        </w:rPr>
        <w:t xml:space="preserve"> </w:t>
      </w:r>
    </w:p>
    <w:p w:rsidR="009353DF" w:rsidRDefault="00BF69FF" w:rsidP="00484580">
      <w:pPr>
        <w:pStyle w:val="DHHSbody"/>
      </w:pPr>
      <w:r>
        <w:t>No further action</w:t>
      </w:r>
      <w:r w:rsidR="009353DF">
        <w:t xml:space="preserve"> – </w:t>
      </w:r>
      <w:r w:rsidR="00077094">
        <w:t xml:space="preserve">communicate the outcome to the practitioner.  </w:t>
      </w:r>
      <w:r w:rsidR="009353DF">
        <w:t>Subject to ongoing monitoring and review within supervision (with or without progress reporting to the line-manager) supported by use of supervision tool.</w:t>
      </w:r>
    </w:p>
    <w:p w:rsidR="00E10E67" w:rsidRPr="007A3BBD" w:rsidRDefault="00E10E67" w:rsidP="007A2293">
      <w:pPr>
        <w:pStyle w:val="Heading2"/>
        <w:rPr>
          <w:b w:val="0"/>
        </w:rPr>
      </w:pPr>
      <w:r w:rsidRPr="007A3BBD">
        <w:rPr>
          <w:b w:val="0"/>
        </w:rPr>
        <w:t>Where to get further information</w:t>
      </w:r>
    </w:p>
    <w:p w:rsidR="00E10E67" w:rsidRPr="00A91CA9" w:rsidRDefault="00E10E67" w:rsidP="00A91CA9">
      <w:pPr>
        <w:pStyle w:val="ListParagraph"/>
        <w:numPr>
          <w:ilvl w:val="0"/>
          <w:numId w:val="20"/>
        </w:numPr>
        <w:ind w:left="426" w:hanging="426"/>
        <w:rPr>
          <w:rFonts w:ascii="Arial" w:eastAsia="Times" w:hAnsi="Arial"/>
          <w:sz w:val="20"/>
          <w:szCs w:val="20"/>
          <w:lang w:val="en-AU"/>
        </w:rPr>
      </w:pPr>
      <w:r w:rsidRPr="00A91CA9">
        <w:rPr>
          <w:rFonts w:ascii="Arial" w:eastAsia="Times" w:hAnsi="Arial"/>
          <w:sz w:val="20"/>
          <w:szCs w:val="20"/>
          <w:lang w:val="en-AU"/>
        </w:rPr>
        <w:t>The Child Protection Manual provides comprehensive information about the management of work,</w:t>
      </w:r>
      <w:r w:rsidR="002612BB" w:rsidRPr="00A91CA9">
        <w:rPr>
          <w:rFonts w:ascii="Arial" w:eastAsia="Times" w:hAnsi="Arial"/>
          <w:sz w:val="20"/>
          <w:szCs w:val="20"/>
          <w:lang w:val="en-AU"/>
        </w:rPr>
        <w:t xml:space="preserve"> with</w:t>
      </w:r>
      <w:r w:rsidRPr="00A91CA9">
        <w:rPr>
          <w:rFonts w:ascii="Arial" w:eastAsia="Times" w:hAnsi="Arial"/>
          <w:sz w:val="20"/>
          <w:szCs w:val="20"/>
          <w:lang w:val="en-AU"/>
        </w:rPr>
        <w:t xml:space="preserve"> tools and strategies for managing workload within the program</w:t>
      </w:r>
      <w:r w:rsidR="00B917C0">
        <w:rPr>
          <w:rFonts w:ascii="Arial" w:eastAsia="Times" w:hAnsi="Arial"/>
          <w:sz w:val="20"/>
          <w:szCs w:val="20"/>
          <w:lang w:val="en-AU"/>
        </w:rPr>
        <w:t>;</w:t>
      </w:r>
    </w:p>
    <w:p w:rsidR="00E10E67" w:rsidRPr="002612BB" w:rsidRDefault="00E10E67" w:rsidP="00A91CA9">
      <w:pPr>
        <w:ind w:left="426" w:hanging="426"/>
        <w:rPr>
          <w:rFonts w:ascii="Arial" w:eastAsia="Times" w:hAnsi="Arial"/>
          <w:sz w:val="20"/>
          <w:szCs w:val="20"/>
          <w:lang w:val="en-AU"/>
        </w:rPr>
      </w:pPr>
    </w:p>
    <w:p w:rsidR="00E10E67" w:rsidRPr="00A91CA9" w:rsidRDefault="002612BB" w:rsidP="00A91CA9">
      <w:pPr>
        <w:pStyle w:val="ListParagraph"/>
        <w:numPr>
          <w:ilvl w:val="0"/>
          <w:numId w:val="20"/>
        </w:numPr>
        <w:ind w:left="426" w:hanging="426"/>
        <w:rPr>
          <w:rFonts w:ascii="Arial" w:eastAsia="Times" w:hAnsi="Arial"/>
          <w:sz w:val="20"/>
          <w:szCs w:val="20"/>
          <w:lang w:val="en-AU"/>
        </w:rPr>
      </w:pPr>
      <w:r w:rsidRPr="00A91CA9">
        <w:rPr>
          <w:rFonts w:ascii="Arial" w:eastAsia="Times" w:hAnsi="Arial"/>
          <w:sz w:val="20"/>
          <w:szCs w:val="20"/>
          <w:lang w:val="en-AU"/>
        </w:rPr>
        <w:t xml:space="preserve">The </w:t>
      </w:r>
      <w:r w:rsidR="00BE2393" w:rsidRPr="00A91CA9">
        <w:rPr>
          <w:rFonts w:ascii="Arial" w:eastAsia="Times" w:hAnsi="Arial"/>
          <w:sz w:val="20"/>
          <w:szCs w:val="20"/>
          <w:lang w:val="en-AU"/>
        </w:rPr>
        <w:t>‘</w:t>
      </w:r>
      <w:r w:rsidR="00D75FED" w:rsidRPr="00A91CA9">
        <w:rPr>
          <w:rFonts w:ascii="Arial" w:eastAsia="Times" w:hAnsi="Arial"/>
          <w:sz w:val="20"/>
          <w:szCs w:val="20"/>
          <w:lang w:val="en-AU"/>
        </w:rPr>
        <w:t>Working at DHHS</w:t>
      </w:r>
      <w:r w:rsidR="00BE2393" w:rsidRPr="00A91CA9">
        <w:rPr>
          <w:rFonts w:ascii="Arial" w:eastAsia="Times" w:hAnsi="Arial"/>
          <w:sz w:val="20"/>
          <w:szCs w:val="20"/>
          <w:lang w:val="en-AU"/>
        </w:rPr>
        <w:t>’</w:t>
      </w:r>
      <w:r w:rsidR="00D75FED" w:rsidRPr="00A91CA9">
        <w:rPr>
          <w:rFonts w:ascii="Arial" w:eastAsia="Times" w:hAnsi="Arial"/>
          <w:sz w:val="20"/>
          <w:szCs w:val="20"/>
          <w:lang w:val="en-AU"/>
        </w:rPr>
        <w:t xml:space="preserve"> tab on the department’s intranet page contains </w:t>
      </w:r>
      <w:proofErr w:type="gramStart"/>
      <w:r w:rsidR="00D75FED" w:rsidRPr="00A91CA9">
        <w:rPr>
          <w:rFonts w:ascii="Arial" w:eastAsia="Times" w:hAnsi="Arial"/>
          <w:sz w:val="20"/>
          <w:szCs w:val="20"/>
          <w:lang w:val="en-AU"/>
        </w:rPr>
        <w:t>all of</w:t>
      </w:r>
      <w:proofErr w:type="gramEnd"/>
      <w:r w:rsidR="00D75FED" w:rsidRPr="00A91CA9">
        <w:rPr>
          <w:rFonts w:ascii="Arial" w:eastAsia="Times" w:hAnsi="Arial"/>
          <w:sz w:val="20"/>
          <w:szCs w:val="20"/>
          <w:lang w:val="en-AU"/>
        </w:rPr>
        <w:t xml:space="preserve"> the department policies, guides and procedures relating to employment, including the policies referred to in this document</w:t>
      </w:r>
      <w:r w:rsidR="00B917C0">
        <w:rPr>
          <w:rFonts w:ascii="Arial" w:eastAsia="Times" w:hAnsi="Arial"/>
          <w:sz w:val="20"/>
          <w:szCs w:val="20"/>
          <w:lang w:val="en-AU"/>
        </w:rPr>
        <w:t>;</w:t>
      </w:r>
    </w:p>
    <w:p w:rsidR="00D75FED" w:rsidRPr="002612BB" w:rsidRDefault="00D75FED" w:rsidP="00A91CA9">
      <w:pPr>
        <w:ind w:left="426" w:hanging="426"/>
        <w:rPr>
          <w:rFonts w:ascii="Arial" w:eastAsia="Times" w:hAnsi="Arial"/>
          <w:sz w:val="20"/>
          <w:szCs w:val="20"/>
          <w:lang w:val="en-AU"/>
        </w:rPr>
      </w:pPr>
    </w:p>
    <w:p w:rsidR="00D75FED" w:rsidRPr="00A91CA9" w:rsidRDefault="00C45A69" w:rsidP="00A91CA9">
      <w:pPr>
        <w:pStyle w:val="ListParagraph"/>
        <w:numPr>
          <w:ilvl w:val="0"/>
          <w:numId w:val="20"/>
        </w:numPr>
        <w:ind w:left="426" w:hanging="426"/>
        <w:rPr>
          <w:rFonts w:ascii="Arial" w:eastAsia="Times" w:hAnsi="Arial"/>
          <w:sz w:val="20"/>
          <w:szCs w:val="20"/>
          <w:lang w:val="en-AU"/>
        </w:rPr>
      </w:pPr>
      <w:r>
        <w:rPr>
          <w:rFonts w:ascii="Arial" w:eastAsia="Times" w:hAnsi="Arial"/>
          <w:sz w:val="20"/>
          <w:szCs w:val="20"/>
          <w:lang w:val="en-AU"/>
        </w:rPr>
        <w:t>People and Culture can be</w:t>
      </w:r>
      <w:r w:rsidR="00D75FED" w:rsidRPr="00A91CA9">
        <w:rPr>
          <w:rFonts w:ascii="Arial" w:eastAsia="Times" w:hAnsi="Arial"/>
          <w:sz w:val="20"/>
          <w:szCs w:val="20"/>
          <w:lang w:val="en-AU"/>
        </w:rPr>
        <w:t xml:space="preserve"> contacted </w:t>
      </w:r>
      <w:r w:rsidR="002612BB" w:rsidRPr="00A91CA9">
        <w:rPr>
          <w:rFonts w:ascii="Arial" w:eastAsia="Times" w:hAnsi="Arial"/>
          <w:sz w:val="20"/>
          <w:szCs w:val="20"/>
          <w:lang w:val="en-AU"/>
        </w:rPr>
        <w:t>for advice and support</w:t>
      </w:r>
      <w:r w:rsidR="00B917C0">
        <w:rPr>
          <w:rFonts w:ascii="Arial" w:eastAsia="Times" w:hAnsi="Arial"/>
          <w:sz w:val="20"/>
          <w:szCs w:val="20"/>
          <w:lang w:val="en-AU"/>
        </w:rPr>
        <w:t>;</w:t>
      </w:r>
      <w:r w:rsidR="00D75FED" w:rsidRPr="00A91CA9">
        <w:rPr>
          <w:rFonts w:ascii="Arial" w:eastAsia="Times" w:hAnsi="Arial"/>
          <w:sz w:val="20"/>
          <w:szCs w:val="20"/>
          <w:lang w:val="en-AU"/>
        </w:rPr>
        <w:t xml:space="preserve">  </w:t>
      </w:r>
    </w:p>
    <w:p w:rsidR="00D75FED" w:rsidRDefault="00D75FED" w:rsidP="00A91CA9">
      <w:pPr>
        <w:ind w:left="426" w:hanging="426"/>
        <w:rPr>
          <w:rFonts w:ascii="Arial" w:eastAsia="Times" w:hAnsi="Arial"/>
          <w:sz w:val="20"/>
          <w:szCs w:val="20"/>
          <w:lang w:val="en-AU"/>
        </w:rPr>
      </w:pPr>
    </w:p>
    <w:p w:rsidR="00BF7887" w:rsidRPr="00A91CA9" w:rsidRDefault="00BF7887" w:rsidP="00A91CA9">
      <w:pPr>
        <w:pStyle w:val="ListParagraph"/>
        <w:numPr>
          <w:ilvl w:val="0"/>
          <w:numId w:val="20"/>
        </w:numPr>
        <w:ind w:left="426" w:hanging="426"/>
        <w:rPr>
          <w:rFonts w:ascii="Arial" w:eastAsia="Times" w:hAnsi="Arial"/>
          <w:sz w:val="20"/>
          <w:szCs w:val="20"/>
          <w:lang w:val="en-AU"/>
        </w:rPr>
      </w:pPr>
      <w:r w:rsidRPr="00A91CA9">
        <w:rPr>
          <w:rFonts w:ascii="Arial" w:eastAsia="Times" w:hAnsi="Arial"/>
          <w:sz w:val="20"/>
          <w:szCs w:val="20"/>
          <w:lang w:val="en-AU"/>
        </w:rPr>
        <w:t xml:space="preserve">Employees can also seek additional independent advice and support via the department’s Child Protection </w:t>
      </w:r>
      <w:r w:rsidR="00A91CA9" w:rsidRPr="00A91CA9">
        <w:rPr>
          <w:rFonts w:ascii="Arial" w:eastAsia="Times" w:hAnsi="Arial"/>
          <w:sz w:val="20"/>
          <w:szCs w:val="20"/>
          <w:lang w:val="en-AU"/>
        </w:rPr>
        <w:t xml:space="preserve">Health and </w:t>
      </w:r>
      <w:r w:rsidRPr="00A91CA9">
        <w:rPr>
          <w:rFonts w:ascii="Arial" w:eastAsia="Times" w:hAnsi="Arial"/>
          <w:sz w:val="20"/>
          <w:szCs w:val="20"/>
          <w:lang w:val="en-AU"/>
        </w:rPr>
        <w:t>Wellbeing Program and the Peer Support Network.</w:t>
      </w:r>
    </w:p>
    <w:p w:rsidR="00A91CA9" w:rsidRPr="007A3BBD" w:rsidRDefault="00A91CA9" w:rsidP="00A91CA9">
      <w:pPr>
        <w:pStyle w:val="Heading2"/>
        <w:rPr>
          <w:b w:val="0"/>
        </w:rPr>
      </w:pPr>
      <w:r w:rsidRPr="007A3BBD">
        <w:rPr>
          <w:b w:val="0"/>
        </w:rPr>
        <w:t>Related documents</w:t>
      </w:r>
    </w:p>
    <w:p w:rsidR="00585798" w:rsidRDefault="00585798" w:rsidP="00656793">
      <w:pPr>
        <w:pStyle w:val="DHHSbody"/>
      </w:pPr>
      <w:r w:rsidRPr="00656793">
        <w:t>Supervision and principles of work allocation for child protection practitioners guidelines, Child Protection Manual</w:t>
      </w:r>
    </w:p>
    <w:p w:rsidR="00A91CA9" w:rsidRPr="00656793" w:rsidRDefault="00A91CA9" w:rsidP="00656793">
      <w:pPr>
        <w:pStyle w:val="DHHSbody"/>
      </w:pPr>
      <w:r w:rsidRPr="00656793">
        <w:t>Clause 13: Workload, Victorian Public Service Enterprise Agreement 2016</w:t>
      </w:r>
    </w:p>
    <w:p w:rsidR="00A91CA9" w:rsidRPr="00656793" w:rsidRDefault="00A91CA9" w:rsidP="00656793">
      <w:pPr>
        <w:pStyle w:val="DHHSbody"/>
      </w:pPr>
      <w:r w:rsidRPr="00656793">
        <w:t>Clause 22: Resolving disputes, Victorian Public Service Enterprise Agreement 2016</w:t>
      </w:r>
    </w:p>
    <w:p w:rsidR="00A91CA9" w:rsidRPr="00656793" w:rsidRDefault="00A91CA9" w:rsidP="00656793">
      <w:pPr>
        <w:pStyle w:val="DHHSbody"/>
      </w:pPr>
      <w:r w:rsidRPr="00656793">
        <w:t xml:space="preserve">Positive and </w:t>
      </w:r>
      <w:r w:rsidR="00A56958">
        <w:t>F</w:t>
      </w:r>
      <w:r w:rsidRPr="00656793">
        <w:t xml:space="preserve">air </w:t>
      </w:r>
      <w:r w:rsidR="00A56958">
        <w:t>W</w:t>
      </w:r>
      <w:r w:rsidRPr="00656793">
        <w:t xml:space="preserve">orkplace policy and </w:t>
      </w:r>
      <w:r w:rsidR="00A56958">
        <w:t>R</w:t>
      </w:r>
      <w:r w:rsidRPr="00656793">
        <w:t xml:space="preserve">eview of </w:t>
      </w:r>
      <w:r w:rsidR="00A56958">
        <w:t>A</w:t>
      </w:r>
      <w:r w:rsidRPr="00656793">
        <w:t>ctions policy</w:t>
      </w:r>
    </w:p>
    <w:p w:rsidR="00A91CA9" w:rsidRPr="00520BFA" w:rsidRDefault="00A91CA9" w:rsidP="00F3122E">
      <w:pPr>
        <w:pStyle w:val="DHHSbody"/>
      </w:pPr>
    </w:p>
    <w:p w:rsidR="00B2752E" w:rsidRPr="00906490" w:rsidRDefault="00B2752E" w:rsidP="00FF6D9D">
      <w:pPr>
        <w:pStyle w:val="DHHSbody"/>
      </w:pPr>
    </w:p>
    <w:sectPr w:rsidR="00B2752E" w:rsidRPr="00906490" w:rsidSect="007A3BB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568" w:right="566" w:bottom="992" w:left="964" w:header="567" w:footer="40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FF4" w:rsidRDefault="007D1FF4">
      <w:r>
        <w:separator/>
      </w:r>
    </w:p>
  </w:endnote>
  <w:endnote w:type="continuationSeparator" w:id="0">
    <w:p w:rsidR="007D1FF4" w:rsidRDefault="007D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BFA" w:rsidRPr="002B0D13" w:rsidRDefault="00520BFA" w:rsidP="00520BFA">
    <w:pPr>
      <w:pStyle w:val="DHHSmainheading"/>
      <w:rPr>
        <w:color w:val="000000" w:themeColor="text1"/>
        <w:sz w:val="18"/>
        <w:szCs w:val="18"/>
      </w:rPr>
    </w:pPr>
    <w:r w:rsidRPr="002B0D13">
      <w:rPr>
        <w:color w:val="000000" w:themeColor="text1"/>
        <w:sz w:val="18"/>
        <w:szCs w:val="18"/>
      </w:rPr>
      <w:t>Resolving Individual workload concerns for Victorian child protection practitioners</w:t>
    </w:r>
    <w:r w:rsidR="00CD12F4">
      <w:rPr>
        <w:color w:val="000000" w:themeColor="text1"/>
        <w:sz w:val="18"/>
        <w:szCs w:val="18"/>
      </w:rPr>
      <w:t xml:space="preserve"> March</w:t>
    </w:r>
    <w:r w:rsidRPr="002B0D13">
      <w:rPr>
        <w:color w:val="000000" w:themeColor="text1"/>
        <w:sz w:val="18"/>
        <w:szCs w:val="18"/>
      </w:rPr>
      <w:t xml:space="preserve"> 2019</w:t>
    </w:r>
  </w:p>
  <w:p w:rsidR="002B0D13" w:rsidRPr="00161AA0" w:rsidRDefault="002B0D13" w:rsidP="002B0D13">
    <w:pPr>
      <w:pStyle w:val="DHHSmainheading"/>
    </w:pPr>
    <w:r>
      <w:t>Victorian child protection practitioners</w:t>
    </w:r>
  </w:p>
  <w:p w:rsidR="009D70A4" w:rsidRPr="00F65AA9" w:rsidRDefault="00DA64D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64384" behindDoc="0" locked="1" layoutInCell="0" allowOverlap="1" wp14:anchorId="119C13B0" wp14:editId="2BAC03B5">
          <wp:simplePos x="0" y="0"/>
          <wp:positionH relativeFrom="page">
            <wp:posOffset>7620</wp:posOffset>
          </wp:positionH>
          <wp:positionV relativeFrom="page">
            <wp:posOffset>10104120</wp:posOffset>
          </wp:positionV>
          <wp:extent cx="7566660" cy="57912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7A3BBD" w:rsidRDefault="007A3BBD" w:rsidP="007A3BBD">
    <w:pPr>
      <w:pStyle w:val="DHHSmainheading"/>
      <w:rPr>
        <w:color w:val="000000" w:themeColor="text1"/>
        <w:sz w:val="18"/>
        <w:szCs w:val="18"/>
      </w:rPr>
    </w:pPr>
    <w:r w:rsidRPr="002B0D13">
      <w:rPr>
        <w:color w:val="000000" w:themeColor="text1"/>
        <w:sz w:val="18"/>
        <w:szCs w:val="18"/>
      </w:rPr>
      <w:t xml:space="preserve">Resolving Individual workload concerns for Victorian child protection practitioners </w:t>
    </w:r>
    <w:r>
      <w:rPr>
        <w:color w:val="000000" w:themeColor="text1"/>
        <w:sz w:val="18"/>
        <w:szCs w:val="18"/>
      </w:rPr>
      <w:t>March</w:t>
    </w:r>
    <w:r w:rsidRPr="002B0D13">
      <w:rPr>
        <w:color w:val="000000" w:themeColor="text1"/>
        <w:sz w:val="18"/>
        <w:szCs w:val="18"/>
      </w:rPr>
      <w:t xml:space="preserve"> 2019</w:t>
    </w: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  <w:r w:rsidR="009D70A4" w:rsidRPr="007A3BBD">
      <w:rPr>
        <w:color w:val="auto"/>
        <w:sz w:val="18"/>
        <w:szCs w:val="18"/>
      </w:rPr>
      <w:fldChar w:fldCharType="begin"/>
    </w:r>
    <w:r w:rsidR="009D70A4" w:rsidRPr="007A3BBD">
      <w:rPr>
        <w:color w:val="auto"/>
        <w:sz w:val="18"/>
        <w:szCs w:val="18"/>
      </w:rPr>
      <w:instrText xml:space="preserve"> PAGE </w:instrText>
    </w:r>
    <w:r w:rsidR="009D70A4" w:rsidRPr="007A3BBD">
      <w:rPr>
        <w:color w:val="auto"/>
        <w:sz w:val="18"/>
        <w:szCs w:val="18"/>
      </w:rPr>
      <w:fldChar w:fldCharType="separate"/>
    </w:r>
    <w:r w:rsidR="00254937">
      <w:rPr>
        <w:noProof/>
        <w:color w:val="auto"/>
        <w:sz w:val="18"/>
        <w:szCs w:val="18"/>
      </w:rPr>
      <w:t>3</w:t>
    </w:r>
    <w:r w:rsidR="009D70A4" w:rsidRPr="007A3BBD">
      <w:rPr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FF4" w:rsidRDefault="007D1FF4" w:rsidP="002862F1">
      <w:pPr>
        <w:spacing w:before="120"/>
      </w:pPr>
      <w:r>
        <w:separator/>
      </w:r>
    </w:p>
  </w:footnote>
  <w:footnote w:type="continuationSeparator" w:id="0">
    <w:p w:rsidR="007D1FF4" w:rsidRDefault="007D1FF4">
      <w:r>
        <w:continuationSeparator/>
      </w:r>
    </w:p>
  </w:footnote>
  <w:footnote w:id="1">
    <w:p w:rsidR="008A46F9" w:rsidRPr="00A56958" w:rsidRDefault="00673377">
      <w:pPr>
        <w:pStyle w:val="FootnoteText"/>
        <w:rPr>
          <w:rFonts w:eastAsia="Verdana"/>
          <w:color w:val="000000"/>
        </w:rPr>
      </w:pPr>
      <w:r w:rsidRPr="00B83387">
        <w:rPr>
          <w:rStyle w:val="FootnoteReference"/>
        </w:rPr>
        <w:footnoteRef/>
      </w:r>
      <w:r w:rsidRPr="00B83387">
        <w:t xml:space="preserve"> </w:t>
      </w:r>
      <w:r w:rsidRPr="00A56958">
        <w:rPr>
          <w:rFonts w:eastAsia="Verdana"/>
          <w:color w:val="000000"/>
        </w:rPr>
        <w:t>Supervisors must note</w:t>
      </w:r>
      <w:r w:rsidR="008A46F9" w:rsidRPr="00A56958">
        <w:rPr>
          <w:rFonts w:eastAsia="Verdana"/>
          <w:color w:val="000000"/>
        </w:rPr>
        <w:t>:</w:t>
      </w:r>
    </w:p>
    <w:p w:rsidR="008A46F9" w:rsidRPr="00A56958" w:rsidRDefault="00673377" w:rsidP="008A46F9">
      <w:pPr>
        <w:pStyle w:val="FootnoteText"/>
        <w:numPr>
          <w:ilvl w:val="0"/>
          <w:numId w:val="16"/>
        </w:numPr>
        <w:rPr>
          <w:lang w:val="en-AU"/>
        </w:rPr>
      </w:pPr>
      <w:r w:rsidRPr="00A56958">
        <w:rPr>
          <w:rFonts w:eastAsia="Verdana"/>
          <w:color w:val="000000"/>
        </w:rPr>
        <w:t>th</w:t>
      </w:r>
      <w:r w:rsidR="00376693" w:rsidRPr="00A56958">
        <w:rPr>
          <w:rFonts w:eastAsia="Verdana"/>
          <w:color w:val="000000"/>
        </w:rPr>
        <w:t>is</w:t>
      </w:r>
      <w:r w:rsidRPr="00A56958">
        <w:rPr>
          <w:rFonts w:eastAsia="Verdana"/>
          <w:color w:val="000000"/>
        </w:rPr>
        <w:t xml:space="preserve"> process does not replace the DHHS managing </w:t>
      </w:r>
      <w:r w:rsidR="00B83387" w:rsidRPr="00A56958">
        <w:rPr>
          <w:rFonts w:eastAsia="Verdana"/>
          <w:color w:val="000000"/>
        </w:rPr>
        <w:t>unsatisfactory work performance</w:t>
      </w:r>
      <w:r w:rsidRPr="00A56958">
        <w:rPr>
          <w:rFonts w:eastAsia="Verdana"/>
          <w:color w:val="000000"/>
        </w:rPr>
        <w:t xml:space="preserve"> process. </w:t>
      </w:r>
    </w:p>
    <w:p w:rsidR="00673377" w:rsidRPr="00A56958" w:rsidRDefault="008A46F9" w:rsidP="008A46F9">
      <w:pPr>
        <w:pStyle w:val="FootnoteText"/>
        <w:numPr>
          <w:ilvl w:val="0"/>
          <w:numId w:val="16"/>
        </w:numPr>
        <w:rPr>
          <w:lang w:val="en-AU"/>
        </w:rPr>
      </w:pPr>
      <w:r w:rsidRPr="00A56958">
        <w:rPr>
          <w:rFonts w:eastAsia="Verdana"/>
          <w:color w:val="000000"/>
        </w:rPr>
        <w:t>w</w:t>
      </w:r>
      <w:r w:rsidR="00673377" w:rsidRPr="00A56958">
        <w:rPr>
          <w:rFonts w:eastAsia="Verdana"/>
          <w:color w:val="000000"/>
        </w:rPr>
        <w:t>here a matter relates to a formal complaint or issue of perceived improper conduct by an employee, the supervisor’s line manager should be a</w:t>
      </w:r>
      <w:r w:rsidR="002612BB" w:rsidRPr="00A56958">
        <w:rPr>
          <w:rFonts w:eastAsia="Verdana"/>
          <w:color w:val="000000"/>
        </w:rPr>
        <w:t xml:space="preserve">dvised </w:t>
      </w:r>
      <w:r w:rsidR="00CD12F4" w:rsidRPr="00A56958">
        <w:rPr>
          <w:rFonts w:eastAsia="Verdana"/>
          <w:color w:val="000000"/>
        </w:rPr>
        <w:t>immediately,</w:t>
      </w:r>
      <w:r w:rsidR="002612BB" w:rsidRPr="00A56958">
        <w:rPr>
          <w:rFonts w:eastAsia="Verdana"/>
          <w:color w:val="000000"/>
        </w:rPr>
        <w:t xml:space="preserve"> and advice requested from People and Culture</w:t>
      </w:r>
      <w:r w:rsidR="00673377" w:rsidRPr="00A56958">
        <w:rPr>
          <w:rFonts w:eastAsia="Verdana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1B6" w:rsidRDefault="00875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1B6" w:rsidRDefault="00875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0CE97404"/>
    <w:multiLevelType w:val="hybridMultilevel"/>
    <w:tmpl w:val="24868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E0728"/>
    <w:multiLevelType w:val="multilevel"/>
    <w:tmpl w:val="8C728028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Verdana" w:eastAsia="Verdana" w:hAnsi="Verdan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499B7EE3"/>
    <w:multiLevelType w:val="hybridMultilevel"/>
    <w:tmpl w:val="3AB83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5820290"/>
    <w:multiLevelType w:val="hybridMultilevel"/>
    <w:tmpl w:val="F850C22A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6F66774A"/>
    <w:multiLevelType w:val="hybridMultilevel"/>
    <w:tmpl w:val="358A5C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81EC7"/>
    <w:multiLevelType w:val="hybridMultilevel"/>
    <w:tmpl w:val="F4482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15141"/>
    <w:multiLevelType w:val="hybridMultilevel"/>
    <w:tmpl w:val="E5360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244B5"/>
    <w:multiLevelType w:val="multilevel"/>
    <w:tmpl w:val="488EEDC6"/>
    <w:lvl w:ilvl="0">
      <w:start w:val="1"/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9A0D29"/>
    <w:multiLevelType w:val="multilevel"/>
    <w:tmpl w:val="27A43FC6"/>
    <w:lvl w:ilvl="0">
      <w:start w:val="1"/>
      <w:numFmt w:val="bullet"/>
      <w:lvlText w:val="o"/>
      <w:lvlJc w:val="left"/>
      <w:pPr>
        <w:tabs>
          <w:tab w:val="left" w:pos="288"/>
        </w:tabs>
      </w:pPr>
      <w:rPr>
        <w:rFonts w:ascii="Courier New" w:eastAsia="Courier New" w:hAnsi="Courier New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2"/>
  </w:num>
  <w:num w:numId="10">
    <w:abstractNumId w:val="4"/>
  </w:num>
  <w:num w:numId="11">
    <w:abstractNumId w:val="13"/>
  </w:num>
  <w:num w:numId="12">
    <w:abstractNumId w:val="5"/>
  </w:num>
  <w:num w:numId="13">
    <w:abstractNumId w:val="5"/>
  </w:num>
  <w:num w:numId="14">
    <w:abstractNumId w:val="5"/>
  </w:num>
  <w:num w:numId="15">
    <w:abstractNumId w:val="7"/>
  </w:num>
  <w:num w:numId="16">
    <w:abstractNumId w:val="8"/>
  </w:num>
  <w:num w:numId="17">
    <w:abstractNumId w:val="6"/>
  </w:num>
  <w:num w:numId="18">
    <w:abstractNumId w:val="3"/>
  </w:num>
  <w:num w:numId="19">
    <w:abstractNumId w:val="7"/>
  </w:num>
  <w:num w:numId="20">
    <w:abstractNumId w:val="9"/>
  </w:num>
  <w:num w:numId="21">
    <w:abstractNumId w:val="10"/>
  </w:num>
  <w:num w:numId="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377"/>
    <w:rsid w:val="000072B6"/>
    <w:rsid w:val="0001021B"/>
    <w:rsid w:val="00011D89"/>
    <w:rsid w:val="00017A37"/>
    <w:rsid w:val="00024D89"/>
    <w:rsid w:val="000250B6"/>
    <w:rsid w:val="00033D81"/>
    <w:rsid w:val="00041BF0"/>
    <w:rsid w:val="0004536B"/>
    <w:rsid w:val="00046B68"/>
    <w:rsid w:val="000527DD"/>
    <w:rsid w:val="00053846"/>
    <w:rsid w:val="000578B2"/>
    <w:rsid w:val="00060959"/>
    <w:rsid w:val="000663CD"/>
    <w:rsid w:val="000733FE"/>
    <w:rsid w:val="00074219"/>
    <w:rsid w:val="00074ED5"/>
    <w:rsid w:val="00077094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97F5D"/>
    <w:rsid w:val="001A3ACE"/>
    <w:rsid w:val="001C277E"/>
    <w:rsid w:val="001C2A72"/>
    <w:rsid w:val="001D0533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937"/>
    <w:rsid w:val="00254F58"/>
    <w:rsid w:val="002612BB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D13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6F0"/>
    <w:rsid w:val="00316F27"/>
    <w:rsid w:val="00327870"/>
    <w:rsid w:val="0033259D"/>
    <w:rsid w:val="003406C6"/>
    <w:rsid w:val="003418CC"/>
    <w:rsid w:val="003459BD"/>
    <w:rsid w:val="00350D38"/>
    <w:rsid w:val="00351B36"/>
    <w:rsid w:val="00356C74"/>
    <w:rsid w:val="00357B4E"/>
    <w:rsid w:val="003744CF"/>
    <w:rsid w:val="00374717"/>
    <w:rsid w:val="00376693"/>
    <w:rsid w:val="0037676C"/>
    <w:rsid w:val="00381074"/>
    <w:rsid w:val="003829E5"/>
    <w:rsid w:val="003956CC"/>
    <w:rsid w:val="00395C9A"/>
    <w:rsid w:val="003A2620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2EE6"/>
    <w:rsid w:val="003F3289"/>
    <w:rsid w:val="00400AE6"/>
    <w:rsid w:val="00401FCF"/>
    <w:rsid w:val="00406285"/>
    <w:rsid w:val="004148F9"/>
    <w:rsid w:val="0042084E"/>
    <w:rsid w:val="00421EEF"/>
    <w:rsid w:val="0042260C"/>
    <w:rsid w:val="00424D65"/>
    <w:rsid w:val="00442C6C"/>
    <w:rsid w:val="00443CBE"/>
    <w:rsid w:val="00443E8A"/>
    <w:rsid w:val="004441BC"/>
    <w:rsid w:val="004468B4"/>
    <w:rsid w:val="0045230A"/>
    <w:rsid w:val="00457337"/>
    <w:rsid w:val="00467A74"/>
    <w:rsid w:val="00472BEE"/>
    <w:rsid w:val="0047372D"/>
    <w:rsid w:val="004743DD"/>
    <w:rsid w:val="00474CEA"/>
    <w:rsid w:val="00477C48"/>
    <w:rsid w:val="00483968"/>
    <w:rsid w:val="00484580"/>
    <w:rsid w:val="00484F86"/>
    <w:rsid w:val="00490746"/>
    <w:rsid w:val="00490852"/>
    <w:rsid w:val="00492DB7"/>
    <w:rsid w:val="00492F30"/>
    <w:rsid w:val="004946F4"/>
    <w:rsid w:val="0049487E"/>
    <w:rsid w:val="004A160D"/>
    <w:rsid w:val="004A3E81"/>
    <w:rsid w:val="004A5C62"/>
    <w:rsid w:val="004A707D"/>
    <w:rsid w:val="004B5B24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0BFA"/>
    <w:rsid w:val="00526C15"/>
    <w:rsid w:val="00536499"/>
    <w:rsid w:val="00543903"/>
    <w:rsid w:val="00543F11"/>
    <w:rsid w:val="00547A95"/>
    <w:rsid w:val="00572031"/>
    <w:rsid w:val="005724C8"/>
    <w:rsid w:val="00573F84"/>
    <w:rsid w:val="00576E84"/>
    <w:rsid w:val="0058068C"/>
    <w:rsid w:val="00582B8C"/>
    <w:rsid w:val="00585798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34EA"/>
    <w:rsid w:val="005D6597"/>
    <w:rsid w:val="005E14E7"/>
    <w:rsid w:val="005E2341"/>
    <w:rsid w:val="005E26A3"/>
    <w:rsid w:val="005E447E"/>
    <w:rsid w:val="005F0775"/>
    <w:rsid w:val="005F0CF5"/>
    <w:rsid w:val="005F21EB"/>
    <w:rsid w:val="00605908"/>
    <w:rsid w:val="006101A3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56793"/>
    <w:rsid w:val="006621D7"/>
    <w:rsid w:val="0066302A"/>
    <w:rsid w:val="00670597"/>
    <w:rsid w:val="006706D0"/>
    <w:rsid w:val="00673377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0344"/>
    <w:rsid w:val="006E138B"/>
    <w:rsid w:val="006F1FDC"/>
    <w:rsid w:val="007013EF"/>
    <w:rsid w:val="00716ADC"/>
    <w:rsid w:val="007173CA"/>
    <w:rsid w:val="00721573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67395"/>
    <w:rsid w:val="00770F37"/>
    <w:rsid w:val="007711A0"/>
    <w:rsid w:val="00772D5E"/>
    <w:rsid w:val="00776928"/>
    <w:rsid w:val="00785677"/>
    <w:rsid w:val="0078682B"/>
    <w:rsid w:val="00786C41"/>
    <w:rsid w:val="00786F16"/>
    <w:rsid w:val="00794D05"/>
    <w:rsid w:val="00796E20"/>
    <w:rsid w:val="00797C32"/>
    <w:rsid w:val="007A2293"/>
    <w:rsid w:val="007A3BBD"/>
    <w:rsid w:val="007B0914"/>
    <w:rsid w:val="007B1374"/>
    <w:rsid w:val="007B589F"/>
    <w:rsid w:val="007B6186"/>
    <w:rsid w:val="007B73BC"/>
    <w:rsid w:val="007C20B9"/>
    <w:rsid w:val="007C7301"/>
    <w:rsid w:val="007C7859"/>
    <w:rsid w:val="007D1FF4"/>
    <w:rsid w:val="007D2BDE"/>
    <w:rsid w:val="007D2FB6"/>
    <w:rsid w:val="007D6B5C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2B78"/>
    <w:rsid w:val="008338A2"/>
    <w:rsid w:val="00841AA9"/>
    <w:rsid w:val="008464E0"/>
    <w:rsid w:val="00853EE4"/>
    <w:rsid w:val="00855535"/>
    <w:rsid w:val="0086255E"/>
    <w:rsid w:val="008633F0"/>
    <w:rsid w:val="00867D9D"/>
    <w:rsid w:val="00872E0A"/>
    <w:rsid w:val="008741AA"/>
    <w:rsid w:val="008751B6"/>
    <w:rsid w:val="00875285"/>
    <w:rsid w:val="00884B62"/>
    <w:rsid w:val="0088529C"/>
    <w:rsid w:val="00887903"/>
    <w:rsid w:val="0089270A"/>
    <w:rsid w:val="00893AF6"/>
    <w:rsid w:val="00894BC4"/>
    <w:rsid w:val="008A46F9"/>
    <w:rsid w:val="008A5B32"/>
    <w:rsid w:val="008B2EE4"/>
    <w:rsid w:val="008B4D3D"/>
    <w:rsid w:val="008B57C7"/>
    <w:rsid w:val="008C2F92"/>
    <w:rsid w:val="008C31C4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53DF"/>
    <w:rsid w:val="00937BD9"/>
    <w:rsid w:val="00950E2C"/>
    <w:rsid w:val="00951D50"/>
    <w:rsid w:val="009525EB"/>
    <w:rsid w:val="00954874"/>
    <w:rsid w:val="00956248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0569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56259"/>
    <w:rsid w:val="00A56958"/>
    <w:rsid w:val="00A6061C"/>
    <w:rsid w:val="00A62D44"/>
    <w:rsid w:val="00A632AB"/>
    <w:rsid w:val="00A67263"/>
    <w:rsid w:val="00A7161C"/>
    <w:rsid w:val="00A77AA3"/>
    <w:rsid w:val="00A854EB"/>
    <w:rsid w:val="00A872E5"/>
    <w:rsid w:val="00A91406"/>
    <w:rsid w:val="00A91CA9"/>
    <w:rsid w:val="00A96E65"/>
    <w:rsid w:val="00A97B5E"/>
    <w:rsid w:val="00A97C72"/>
    <w:rsid w:val="00AA63D4"/>
    <w:rsid w:val="00AA6FA0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83387"/>
    <w:rsid w:val="00B90729"/>
    <w:rsid w:val="00B907DA"/>
    <w:rsid w:val="00B917C0"/>
    <w:rsid w:val="00B950BC"/>
    <w:rsid w:val="00B9714C"/>
    <w:rsid w:val="00BA3F8D"/>
    <w:rsid w:val="00BB7A10"/>
    <w:rsid w:val="00BC7468"/>
    <w:rsid w:val="00BC7D4F"/>
    <w:rsid w:val="00BC7ED7"/>
    <w:rsid w:val="00BD2850"/>
    <w:rsid w:val="00BE2393"/>
    <w:rsid w:val="00BE28D2"/>
    <w:rsid w:val="00BE4A64"/>
    <w:rsid w:val="00BF69FF"/>
    <w:rsid w:val="00BF7887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45A69"/>
    <w:rsid w:val="00C535D2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12F4"/>
    <w:rsid w:val="00CD2271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203E4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75FED"/>
    <w:rsid w:val="00D81F21"/>
    <w:rsid w:val="00D95470"/>
    <w:rsid w:val="00DA0AEC"/>
    <w:rsid w:val="00DA2619"/>
    <w:rsid w:val="00DA4239"/>
    <w:rsid w:val="00DA64D0"/>
    <w:rsid w:val="00DB0B61"/>
    <w:rsid w:val="00DC090B"/>
    <w:rsid w:val="00DC1679"/>
    <w:rsid w:val="00DC1962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10E67"/>
    <w:rsid w:val="00E170DC"/>
    <w:rsid w:val="00E240F8"/>
    <w:rsid w:val="00E26818"/>
    <w:rsid w:val="00E27FFC"/>
    <w:rsid w:val="00E30B15"/>
    <w:rsid w:val="00E40181"/>
    <w:rsid w:val="00E53830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976B9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E02101B6-6BD4-464A-9AE6-860947DB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73377"/>
    <w:rPr>
      <w:rFonts w:eastAsia="PMingLiU"/>
      <w:sz w:val="22"/>
      <w:szCs w:val="22"/>
      <w:lang w:val="en-US"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CommentReference">
    <w:name w:val="annotation reference"/>
    <w:uiPriority w:val="99"/>
    <w:semiHidden/>
    <w:unhideWhenUsed/>
    <w:rsid w:val="00673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377"/>
    <w:rPr>
      <w:sz w:val="20"/>
      <w:szCs w:val="20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CommentTextChar">
    <w:name w:val="Comment Text Char"/>
    <w:basedOn w:val="DefaultParagraphFont"/>
    <w:link w:val="CommentText"/>
    <w:uiPriority w:val="99"/>
    <w:rsid w:val="00673377"/>
    <w:rPr>
      <w:rFonts w:eastAsia="PMingLiU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377"/>
    <w:rPr>
      <w:rFonts w:ascii="Tahoma" w:hAnsi="Tahoma" w:cs="Tahoma"/>
      <w:sz w:val="16"/>
      <w:szCs w:val="16"/>
    </w:r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77"/>
    <w:rPr>
      <w:rFonts w:ascii="Tahoma" w:eastAsia="PMingLiU" w:hAnsi="Tahoma" w:cs="Tahoma"/>
      <w:sz w:val="16"/>
      <w:szCs w:val="16"/>
      <w:lang w:val="en-US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693"/>
    <w:rPr>
      <w:rFonts w:eastAsia="PMingLiU"/>
      <w:b/>
      <w:bCs/>
      <w:lang w:val="en-US" w:eastAsia="en-US"/>
    </w:rPr>
  </w:style>
  <w:style w:type="paragraph" w:styleId="ListParagraph">
    <w:name w:val="List Paragraph"/>
    <w:basedOn w:val="Normal"/>
    <w:uiPriority w:val="72"/>
    <w:semiHidden/>
    <w:qFormat/>
    <w:rsid w:val="00A9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4%20Green%2077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E7B94-5DE4-49E1-81FD-598F9329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04 Green 7726.dot</Template>
  <TotalTime>1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7836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Sophika Houck</dc:creator>
  <cp:lastModifiedBy>Claire Whyte (DHHS)</cp:lastModifiedBy>
  <cp:revision>2</cp:revision>
  <cp:lastPrinted>2018-12-10T04:01:00Z</cp:lastPrinted>
  <dcterms:created xsi:type="dcterms:W3CDTF">2019-05-24T00:52:00Z</dcterms:created>
  <dcterms:modified xsi:type="dcterms:W3CDTF">2019-05-24T00:52:00Z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