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4D3975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0CF80117" wp14:editId="214E7F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F548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977"/>
        <w:gridCol w:w="4961"/>
        <w:gridCol w:w="2374"/>
      </w:tblGrid>
      <w:tr w:rsidR="00AD784C" w:rsidTr="000C329C">
        <w:trPr>
          <w:gridAfter w:val="1"/>
          <w:wAfter w:w="2374" w:type="dxa"/>
          <w:trHeight w:val="1247"/>
        </w:trPr>
        <w:tc>
          <w:tcPr>
            <w:tcW w:w="8046" w:type="dxa"/>
            <w:gridSpan w:val="3"/>
            <w:shd w:val="clear" w:color="auto" w:fill="auto"/>
            <w:vAlign w:val="bottom"/>
          </w:tcPr>
          <w:p w:rsidR="00AD784C" w:rsidRPr="00161AA0" w:rsidRDefault="00F64C0D" w:rsidP="00F64C0D">
            <w:pPr>
              <w:pStyle w:val="DHHSmainheading"/>
            </w:pPr>
            <w:r w:rsidRPr="00F64C0D">
              <w:lastRenderedPageBreak/>
              <w:t xml:space="preserve">Child Protection – </w:t>
            </w:r>
            <w:r>
              <w:t>student placement orientation c</w:t>
            </w:r>
            <w:r w:rsidRPr="00F64C0D">
              <w:t>hecklist</w:t>
            </w:r>
          </w:p>
        </w:tc>
      </w:tr>
      <w:tr w:rsidR="00AD784C" w:rsidTr="000C329C">
        <w:trPr>
          <w:gridAfter w:val="1"/>
          <w:wAfter w:w="2374" w:type="dxa"/>
          <w:trHeight w:hRule="exact" w:val="1162"/>
        </w:trPr>
        <w:tc>
          <w:tcPr>
            <w:tcW w:w="8046" w:type="dxa"/>
            <w:gridSpan w:val="3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57B4E" w:rsidP="00357B4E">
            <w:pPr>
              <w:pStyle w:val="DHHSmainsubheading"/>
              <w:rPr>
                <w:szCs w:val="28"/>
              </w:rPr>
            </w:pPr>
          </w:p>
        </w:tc>
      </w:tr>
      <w:tr w:rsidR="00F64C0D" w:rsidRPr="00B17EAE" w:rsidTr="000C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977" w:type="dxa"/>
            <w:shd w:val="clear" w:color="auto" w:fill="auto"/>
          </w:tcPr>
          <w:p w:rsidR="00F64C0D" w:rsidRPr="00B17EAE" w:rsidRDefault="00F64C0D" w:rsidP="00D73233">
            <w:pPr>
              <w:pStyle w:val="DHHStablecolhead"/>
              <w:rPr>
                <w:lang w:eastAsia="en-AU"/>
              </w:rPr>
            </w:pPr>
            <w:r w:rsidRPr="00B17EAE">
              <w:rPr>
                <w:lang w:eastAsia="en-AU"/>
              </w:rPr>
              <w:t>Name of Student: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F64C0D" w:rsidRPr="00273D5C" w:rsidRDefault="00F64C0D" w:rsidP="00273D5C">
            <w:pPr>
              <w:pStyle w:val="DHHStabletext"/>
            </w:pPr>
          </w:p>
        </w:tc>
      </w:tr>
      <w:tr w:rsidR="00F64C0D" w:rsidRPr="00B17EAE" w:rsidTr="000C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977" w:type="dxa"/>
            <w:shd w:val="clear" w:color="auto" w:fill="auto"/>
          </w:tcPr>
          <w:p w:rsidR="00F64C0D" w:rsidRPr="00B17EAE" w:rsidRDefault="00F64C0D" w:rsidP="00D73233">
            <w:pPr>
              <w:pStyle w:val="DHHStablecolhead"/>
              <w:rPr>
                <w:lang w:eastAsia="en-AU"/>
              </w:rPr>
            </w:pPr>
            <w:r w:rsidRPr="00B17EAE">
              <w:rPr>
                <w:lang w:eastAsia="en-AU"/>
              </w:rPr>
              <w:t>Name of Supervisor: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F64C0D" w:rsidRPr="00273D5C" w:rsidRDefault="00F64C0D" w:rsidP="00273D5C">
            <w:pPr>
              <w:pStyle w:val="DHHStabletext"/>
            </w:pPr>
          </w:p>
        </w:tc>
      </w:tr>
      <w:tr w:rsidR="00F64C0D" w:rsidRPr="00B17EAE" w:rsidTr="000C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977" w:type="dxa"/>
            <w:shd w:val="clear" w:color="auto" w:fill="auto"/>
          </w:tcPr>
          <w:p w:rsidR="00F64C0D" w:rsidRPr="00B17EAE" w:rsidRDefault="00F64C0D" w:rsidP="00D73233">
            <w:pPr>
              <w:pStyle w:val="DHHStablecolhead"/>
              <w:rPr>
                <w:lang w:eastAsia="en-AU"/>
              </w:rPr>
            </w:pPr>
            <w:r w:rsidRPr="00B17EAE">
              <w:rPr>
                <w:lang w:eastAsia="en-AU"/>
              </w:rPr>
              <w:t>Division/Business Unit: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F64C0D" w:rsidRPr="00273D5C" w:rsidRDefault="00F64C0D" w:rsidP="00273D5C">
            <w:pPr>
              <w:pStyle w:val="DHHStabletext"/>
            </w:pPr>
          </w:p>
        </w:tc>
      </w:tr>
      <w:tr w:rsidR="00F64C0D" w:rsidRPr="00B17EAE" w:rsidTr="000C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977" w:type="dxa"/>
            <w:shd w:val="clear" w:color="auto" w:fill="auto"/>
          </w:tcPr>
          <w:p w:rsidR="00F64C0D" w:rsidRPr="00B17EAE" w:rsidRDefault="00F64C0D" w:rsidP="00D73233">
            <w:pPr>
              <w:pStyle w:val="DHHStablecolhead"/>
              <w:rPr>
                <w:lang w:eastAsia="en-AU"/>
              </w:rPr>
            </w:pPr>
            <w:r w:rsidRPr="00B17EAE">
              <w:rPr>
                <w:lang w:eastAsia="en-AU"/>
              </w:rPr>
              <w:t>Work Area: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F64C0D" w:rsidRPr="00273D5C" w:rsidRDefault="00F64C0D" w:rsidP="00273D5C">
            <w:pPr>
              <w:pStyle w:val="DHHStabletext"/>
            </w:pPr>
          </w:p>
        </w:tc>
      </w:tr>
      <w:tr w:rsidR="00F64C0D" w:rsidRPr="00B17EAE" w:rsidTr="000C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977" w:type="dxa"/>
            <w:shd w:val="clear" w:color="auto" w:fill="auto"/>
          </w:tcPr>
          <w:p w:rsidR="00F64C0D" w:rsidRPr="00B17EAE" w:rsidRDefault="00F64C0D" w:rsidP="00D73233">
            <w:pPr>
              <w:pStyle w:val="DHHStablecolhead"/>
              <w:rPr>
                <w:lang w:eastAsia="en-AU"/>
              </w:rPr>
            </w:pPr>
            <w:r w:rsidRPr="00B17EAE">
              <w:rPr>
                <w:lang w:eastAsia="en-AU"/>
              </w:rPr>
              <w:t>Start Date: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F64C0D" w:rsidRPr="00273D5C" w:rsidRDefault="00F64C0D" w:rsidP="00273D5C">
            <w:pPr>
              <w:pStyle w:val="DHHStabletext"/>
            </w:pPr>
          </w:p>
        </w:tc>
      </w:tr>
      <w:tr w:rsidR="00F64C0D" w:rsidRPr="00B17EAE" w:rsidTr="000C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2977" w:type="dxa"/>
            <w:shd w:val="clear" w:color="auto" w:fill="auto"/>
          </w:tcPr>
          <w:p w:rsidR="00F64C0D" w:rsidRPr="00B17EAE" w:rsidRDefault="00F64C0D" w:rsidP="00D73233">
            <w:pPr>
              <w:pStyle w:val="DHHStablecolhead"/>
              <w:rPr>
                <w:lang w:eastAsia="en-AU"/>
              </w:rPr>
            </w:pPr>
            <w:r w:rsidRPr="00B17EAE">
              <w:rPr>
                <w:lang w:eastAsia="en-AU"/>
              </w:rPr>
              <w:t>End Date: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F64C0D" w:rsidRPr="00273D5C" w:rsidRDefault="00F64C0D" w:rsidP="00273D5C">
            <w:pPr>
              <w:pStyle w:val="DHHStabletext"/>
            </w:pPr>
          </w:p>
        </w:tc>
      </w:tr>
    </w:tbl>
    <w:p w:rsidR="00F64C0D" w:rsidRPr="00B82CDC" w:rsidRDefault="00F64C0D" w:rsidP="00F54811">
      <w:pPr>
        <w:pStyle w:val="Heading1"/>
        <w:spacing w:before="120"/>
      </w:pPr>
      <w:r w:rsidRPr="00B82CDC">
        <w:t>General workplace orientation</w:t>
      </w:r>
    </w:p>
    <w:p w:rsidR="00E05A9E" w:rsidRDefault="00E05A9E" w:rsidP="00F54811">
      <w:pPr>
        <w:pStyle w:val="DHHSbullet1"/>
        <w:numPr>
          <w:ilvl w:val="0"/>
          <w:numId w:val="10"/>
        </w:numPr>
        <w:spacing w:before="120" w:after="200"/>
        <w:rPr>
          <w:rFonts w:cs="Arial"/>
        </w:rPr>
        <w:sectPr w:rsidR="00E05A9E" w:rsidSect="00F54811">
          <w:headerReference w:type="default" r:id="rId16"/>
          <w:footerReference w:type="default" r:id="rId17"/>
          <w:type w:val="continuous"/>
          <w:pgSz w:w="11906" w:h="16838" w:code="9"/>
          <w:pgMar w:top="720" w:right="720" w:bottom="720" w:left="720" w:header="567" w:footer="510" w:gutter="0"/>
          <w:cols w:space="340"/>
          <w:titlePg/>
          <w:docGrid w:linePitch="360"/>
        </w:sectPr>
      </w:pPr>
    </w:p>
    <w:p w:rsidR="00F64C0D" w:rsidRPr="00FD676E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 w:rsidRPr="00FD676E">
        <w:rPr>
          <w:rFonts w:cs="Arial"/>
        </w:rPr>
        <w:lastRenderedPageBreak/>
        <w:t>Fill out Rosetta form (if required)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Advise reception area of student’s start date and telephone number (if applicable)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Arrange DHHS security access (swipe card with photo)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Introduction to a buddy or shadow person (if applicable)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Show student rest rooms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Show student kitchen facilities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lastRenderedPageBreak/>
        <w:t>Arrange to meet key personnel (managers, team leaders, staff)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Explain emergency evacuation procedures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Give directions to first aid kit/officers and the health and safety representatives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Show student OH&amp;S information and notice board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Arrange welcome morning tea (if appropriate)</w:t>
      </w:r>
    </w:p>
    <w:p w:rsidR="00F64C0D" w:rsidRDefault="00F64C0D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Give directions to local banks, shops, cafes</w:t>
      </w:r>
    </w:p>
    <w:p w:rsidR="00E05A9E" w:rsidRDefault="00E05A9E" w:rsidP="00FD676E">
      <w:pPr>
        <w:pStyle w:val="DHHSbullet1"/>
        <w:ind w:left="284"/>
        <w:rPr>
          <w:rFonts w:cs="Arial"/>
        </w:rPr>
        <w:sectPr w:rsidR="00E05A9E" w:rsidSect="00F54811">
          <w:type w:val="continuous"/>
          <w:pgSz w:w="11906" w:h="16838" w:code="9"/>
          <w:pgMar w:top="720" w:right="720" w:bottom="720" w:left="720" w:header="567" w:footer="510" w:gutter="0"/>
          <w:cols w:num="2" w:space="340"/>
          <w:titlePg/>
          <w:docGrid w:linePitch="360"/>
        </w:sectPr>
      </w:pPr>
    </w:p>
    <w:p w:rsidR="00C26030" w:rsidRDefault="00C26030" w:rsidP="00FD676E">
      <w:pPr>
        <w:pStyle w:val="DHHSbullet1"/>
        <w:ind w:left="284"/>
        <w:rPr>
          <w:rFonts w:cs="Arial"/>
        </w:rPr>
      </w:pPr>
    </w:p>
    <w:p w:rsidR="00C26030" w:rsidRPr="00FD676E" w:rsidRDefault="00C26030" w:rsidP="00FD676E">
      <w:pPr>
        <w:pStyle w:val="DHHSbullet1"/>
        <w:ind w:left="284" w:hanging="284"/>
        <w:rPr>
          <w:rFonts w:cs="Arial"/>
          <w:b/>
        </w:rPr>
      </w:pPr>
      <w:r w:rsidRPr="00FD676E">
        <w:rPr>
          <w:rFonts w:cs="Arial"/>
          <w:b/>
        </w:rPr>
        <w:t>Supervision</w:t>
      </w:r>
      <w:r w:rsidR="00FD676E">
        <w:rPr>
          <w:rFonts w:cs="Arial"/>
          <w:b/>
        </w:rPr>
        <w:t xml:space="preserve"> and support</w:t>
      </w:r>
    </w:p>
    <w:p w:rsidR="00C26030" w:rsidRDefault="00C26030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Explain student </w:t>
      </w:r>
      <w:r w:rsidR="00FD676E">
        <w:rPr>
          <w:rFonts w:cs="Arial"/>
        </w:rPr>
        <w:t>placements</w:t>
      </w:r>
      <w:r>
        <w:rPr>
          <w:rFonts w:cs="Arial"/>
        </w:rPr>
        <w:t xml:space="preserve"> a </w:t>
      </w:r>
      <w:r w:rsidR="00FD676E">
        <w:rPr>
          <w:rFonts w:cs="Arial"/>
        </w:rPr>
        <w:t>DHHS</w:t>
      </w:r>
    </w:p>
    <w:p w:rsidR="00C26030" w:rsidRDefault="00FD676E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E</w:t>
      </w:r>
      <w:r w:rsidR="00C26030">
        <w:rPr>
          <w:rFonts w:cs="Arial"/>
        </w:rPr>
        <w:t>xplain what supervision means</w:t>
      </w:r>
    </w:p>
    <w:p w:rsidR="00C26030" w:rsidRDefault="00FD676E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</w:t>
      </w:r>
      <w:r w:rsidR="00C26030">
        <w:rPr>
          <w:rFonts w:cs="Arial"/>
        </w:rPr>
        <w:t>chedule supervision meetings</w:t>
      </w:r>
    </w:p>
    <w:p w:rsidR="00C26030" w:rsidRDefault="00C26030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Explain role of manager </w:t>
      </w:r>
    </w:p>
    <w:p w:rsidR="00C96EC8" w:rsidRDefault="00C96EC8" w:rsidP="00FD676E">
      <w:pPr>
        <w:pStyle w:val="DHHSbullet1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Explain role of student </w:t>
      </w:r>
    </w:p>
    <w:p w:rsidR="00FD676E" w:rsidRPr="00C96EC8" w:rsidRDefault="00FD676E" w:rsidP="00FD676E">
      <w:pPr>
        <w:pStyle w:val="DHHSbullet1"/>
        <w:numPr>
          <w:ilvl w:val="0"/>
          <w:numId w:val="10"/>
        </w:numPr>
        <w:rPr>
          <w:rFonts w:cs="Arial"/>
        </w:rPr>
      </w:pPr>
      <w:r w:rsidRPr="00C96EC8">
        <w:rPr>
          <w:rFonts w:cs="Arial"/>
        </w:rPr>
        <w:t xml:space="preserve">Arrange access to and completion of the </w:t>
      </w:r>
      <w:r w:rsidRPr="00C96EC8">
        <w:rPr>
          <w:rFonts w:cs="Arial"/>
          <w:i/>
          <w:color w:val="000000"/>
          <w:lang w:eastAsia="en-AU"/>
        </w:rPr>
        <w:t>Online Student Placement/VAC Orientation Program</w:t>
      </w:r>
    </w:p>
    <w:p w:rsidR="00072DC3" w:rsidRDefault="00E05A9E" w:rsidP="00F54811">
      <w:pPr>
        <w:pStyle w:val="Heading1"/>
        <w:spacing w:before="120"/>
      </w:pPr>
      <w:r>
        <w:t>Occupational Health and Safety (OH&amp;S)</w:t>
      </w:r>
    </w:p>
    <w:p w:rsidR="00072DC3" w:rsidRDefault="00E05A9E" w:rsidP="00072DC3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 xml:space="preserve">Demonstrate or explain any manual handling or transfer procedures, </w:t>
      </w:r>
      <w:r w:rsidR="00072DC3">
        <w:rPr>
          <w:lang w:eastAsia="en-AU"/>
        </w:rPr>
        <w:t xml:space="preserve">including </w:t>
      </w:r>
    </w:p>
    <w:p w:rsidR="00072DC3" w:rsidRDefault="00072DC3" w:rsidP="00072DC3">
      <w:pPr>
        <w:pStyle w:val="DHHSbullet1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>installing and removing car seats</w:t>
      </w:r>
    </w:p>
    <w:p w:rsidR="00E05A9E" w:rsidRDefault="00072DC3" w:rsidP="00072DC3">
      <w:pPr>
        <w:pStyle w:val="DHHSbullet1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 xml:space="preserve">assisting children during transport and contact </w:t>
      </w:r>
      <w:r w:rsidR="00A71B6F">
        <w:rPr>
          <w:lang w:eastAsia="en-AU"/>
        </w:rPr>
        <w:t>(moving in/out car, entering building, prams)</w:t>
      </w:r>
    </w:p>
    <w:p w:rsidR="00E05A9E" w:rsidRDefault="00E05A9E" w:rsidP="00E05A9E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Demonstrate and show to student the location of all other OH&amp;S material</w:t>
      </w:r>
    </w:p>
    <w:p w:rsidR="00E05A9E" w:rsidRDefault="00E05A9E" w:rsidP="00E05A9E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Discuss possible OH&amp;S risks with solutions (See under Risk Assessment in OH&amp;S Manual)</w:t>
      </w:r>
    </w:p>
    <w:p w:rsidR="00BA1F45" w:rsidRDefault="00BA1F45" w:rsidP="00E05A9E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 xml:space="preserve">Advise the student to report any OH&amp;S incidents to the supervisor and complete an eDINMAR report on </w:t>
      </w:r>
      <w:r w:rsidR="00222344">
        <w:rPr>
          <w:lang w:eastAsia="en-AU"/>
        </w:rPr>
        <w:t>behalf of the student i</w:t>
      </w:r>
      <w:bookmarkStart w:id="0" w:name="_GoBack"/>
      <w:bookmarkEnd w:id="0"/>
      <w:r w:rsidR="00787B80">
        <w:rPr>
          <w:lang w:eastAsia="en-AU"/>
        </w:rPr>
        <w:t>f</w:t>
      </w:r>
      <w:r>
        <w:rPr>
          <w:lang w:eastAsia="en-AU"/>
        </w:rPr>
        <w:t xml:space="preserve"> an incident occurs</w:t>
      </w:r>
    </w:p>
    <w:p w:rsidR="00E05A9E" w:rsidRDefault="00E05A9E" w:rsidP="00E05A9E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Show student where First Aid Kit is located</w:t>
      </w:r>
    </w:p>
    <w:p w:rsidR="00E05A9E" w:rsidRDefault="00E05A9E" w:rsidP="00E05A9E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Show student where to access and how to use the various assessment tools</w:t>
      </w:r>
    </w:p>
    <w:p w:rsidR="00E05A9E" w:rsidRDefault="00E05A9E" w:rsidP="00E05A9E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Show student where they can locate disposable gloves and protective gear</w:t>
      </w:r>
    </w:p>
    <w:p w:rsidR="00F54811" w:rsidRDefault="00F54811" w:rsidP="00E05A9E">
      <w:pPr>
        <w:pStyle w:val="DHHSbullet1"/>
        <w:numPr>
          <w:ilvl w:val="0"/>
          <w:numId w:val="9"/>
        </w:numPr>
        <w:rPr>
          <w:lang w:eastAsia="en-AU"/>
        </w:rPr>
      </w:pPr>
      <w:r>
        <w:rPr>
          <w:lang w:eastAsia="en-AU"/>
        </w:rPr>
        <w:t>Show student and demonstrate duress alarm systems and processes</w:t>
      </w:r>
    </w:p>
    <w:p w:rsidR="00F64C0D" w:rsidRPr="00B82CDC" w:rsidRDefault="003E7FE5" w:rsidP="00F64C0D">
      <w:pPr>
        <w:pStyle w:val="Heading1"/>
      </w:pPr>
      <w:r>
        <w:lastRenderedPageBreak/>
        <w:t>Introduction to department’s</w:t>
      </w:r>
      <w:r w:rsidR="00F64C0D" w:rsidRPr="00B82CDC">
        <w:t xml:space="preserve"> network/systems</w:t>
      </w:r>
    </w:p>
    <w:p w:rsidR="00B50FBA" w:rsidRPr="00A47A64" w:rsidRDefault="00222344" w:rsidP="00B50FBA">
      <w:pPr>
        <w:pStyle w:val="DHHSbullet1"/>
        <w:numPr>
          <w:ilvl w:val="0"/>
          <w:numId w:val="1"/>
        </w:numPr>
      </w:pPr>
      <w:hyperlink r:id="rId18" w:history="1">
        <w:r w:rsidR="00B50FBA" w:rsidRPr="00B37178">
          <w:rPr>
            <w:rStyle w:val="Hyperlink"/>
          </w:rPr>
          <w:t>Instructions for using the department’s computer services</w:t>
        </w:r>
      </w:hyperlink>
      <w:r w:rsidR="00B50FBA">
        <w:t xml:space="preserve"> &lt;</w:t>
      </w:r>
      <w:r w:rsidR="00B50FBA">
        <w:rPr>
          <w:rFonts w:ascii="Helv" w:hAnsi="Helv" w:cs="Helv"/>
          <w:color w:val="000000"/>
          <w:lang w:eastAsia="en-AU"/>
        </w:rPr>
        <w:t>https://intranet.dhhs.vic.gov.au/acceptable-use-technology&gt;</w:t>
      </w:r>
    </w:p>
    <w:p w:rsidR="00B50FBA" w:rsidRPr="00A47A64" w:rsidRDefault="00B50FBA" w:rsidP="00B50FBA">
      <w:pPr>
        <w:pStyle w:val="DHHSbullet1"/>
        <w:numPr>
          <w:ilvl w:val="0"/>
          <w:numId w:val="1"/>
        </w:numPr>
      </w:pPr>
      <w:r w:rsidRPr="00A47A64">
        <w:t>Ensure registered access to</w:t>
      </w:r>
      <w:r>
        <w:t xml:space="preserve"> and conduct training for </w:t>
      </w:r>
      <w:r w:rsidRPr="00A47A64">
        <w:t xml:space="preserve"> </w:t>
      </w:r>
      <w:hyperlink r:id="rId19" w:history="1">
        <w:r w:rsidRPr="00FD73BA">
          <w:rPr>
            <w:rStyle w:val="Hyperlink"/>
          </w:rPr>
          <w:t>CRIS</w:t>
        </w:r>
      </w:hyperlink>
      <w:r w:rsidRPr="00A47A64">
        <w:t xml:space="preserve"> (If applicable) </w:t>
      </w:r>
      <w:r>
        <w:t>&lt;</w:t>
      </w:r>
      <w:r w:rsidRPr="00FD73BA">
        <w:t>https://intranet.dhhs.vic.gov.au/cris-client-relationship-information-system</w:t>
      </w:r>
      <w:r>
        <w:t>&gt;</w:t>
      </w:r>
    </w:p>
    <w:p w:rsidR="00B50FBA" w:rsidRDefault="00B50FBA" w:rsidP="00B50FBA">
      <w:pPr>
        <w:pStyle w:val="DHHSbullet1"/>
        <w:numPr>
          <w:ilvl w:val="0"/>
          <w:numId w:val="1"/>
        </w:numPr>
      </w:pPr>
      <w:r>
        <w:t xml:space="preserve">Ensure registered access to and conduct training for </w:t>
      </w:r>
      <w:hyperlink r:id="rId20" w:history="1">
        <w:r w:rsidRPr="00B37178">
          <w:rPr>
            <w:rStyle w:val="Hyperlink"/>
          </w:rPr>
          <w:t>Lotus Notes</w:t>
        </w:r>
      </w:hyperlink>
      <w:r>
        <w:t xml:space="preserve"> &lt;</w:t>
      </w:r>
      <w:r>
        <w:rPr>
          <w:rFonts w:ascii="Helv" w:hAnsi="Helv" w:cs="Helv"/>
          <w:color w:val="000000"/>
          <w:lang w:eastAsia="en-AU"/>
        </w:rPr>
        <w:t>https://intranet.dhhs.vic.gov.au/working-at-dhhs/about-you/training/lotus-notes-853-comprehensive&gt;</w:t>
      </w:r>
    </w:p>
    <w:p w:rsidR="00B50FBA" w:rsidRPr="00A47A64" w:rsidRDefault="00B50FBA" w:rsidP="00B50FBA">
      <w:pPr>
        <w:pStyle w:val="DHHSbullet1"/>
        <w:numPr>
          <w:ilvl w:val="0"/>
          <w:numId w:val="1"/>
        </w:numPr>
      </w:pPr>
      <w:r w:rsidRPr="00A47A64">
        <w:t xml:space="preserve">Instructions of how to navigate through </w:t>
      </w:r>
      <w:r>
        <w:t xml:space="preserve">the department’s </w:t>
      </w:r>
      <w:hyperlink r:id="rId21" w:history="1">
        <w:r w:rsidRPr="00E0460C">
          <w:rPr>
            <w:rStyle w:val="Hyperlink"/>
          </w:rPr>
          <w:t>intranet</w:t>
        </w:r>
      </w:hyperlink>
      <w:r>
        <w:t xml:space="preserve"> &lt;</w:t>
      </w:r>
      <w:r w:rsidRPr="00E0460C">
        <w:t>https://intranet.dhhs.vic.gov.au/</w:t>
      </w:r>
      <w:r>
        <w:t>&gt;</w:t>
      </w:r>
    </w:p>
    <w:p w:rsidR="00F64C0D" w:rsidRPr="00B82CDC" w:rsidRDefault="003E7FE5" w:rsidP="00F64C0D">
      <w:pPr>
        <w:pStyle w:val="Heading1"/>
      </w:pPr>
      <w:r>
        <w:t>P</w:t>
      </w:r>
      <w:r w:rsidR="00F64C0D" w:rsidRPr="00B82CDC">
        <w:t>olicies</w:t>
      </w:r>
      <w:r>
        <w:t xml:space="preserve"> and </w:t>
      </w:r>
      <w:r w:rsidR="00F64C0D" w:rsidRPr="00B82CDC">
        <w:t>processes</w:t>
      </w:r>
    </w:p>
    <w:p w:rsidR="00F64C0D" w:rsidRPr="00B17EAE" w:rsidRDefault="00222344" w:rsidP="00F64C0D">
      <w:pPr>
        <w:pStyle w:val="DHHSbullet1"/>
        <w:numPr>
          <w:ilvl w:val="0"/>
          <w:numId w:val="1"/>
        </w:numPr>
        <w:rPr>
          <w:rFonts w:cs="Arial"/>
        </w:rPr>
      </w:pPr>
      <w:hyperlink r:id="rId22" w:history="1">
        <w:r w:rsidR="00F64C0D" w:rsidRPr="00273D5C">
          <w:rPr>
            <w:rStyle w:val="Hyperlink"/>
            <w:rFonts w:cs="Arial"/>
          </w:rPr>
          <w:t>Code of Conduct</w:t>
        </w:r>
      </w:hyperlink>
      <w:r w:rsidR="00273D5C">
        <w:rPr>
          <w:rFonts w:cs="Arial"/>
        </w:rPr>
        <w:t xml:space="preserve"> &lt;</w:t>
      </w:r>
      <w:r w:rsidR="00273D5C" w:rsidRPr="0066712F">
        <w:t>https://vpsc.vic.gov.au/html-resources/code-of-conduct-for-victorian-public-sector-employees/</w:t>
      </w:r>
      <w:r w:rsidR="00273D5C">
        <w:t>&gt;</w:t>
      </w:r>
    </w:p>
    <w:p w:rsidR="00F64C0D" w:rsidRPr="00B17EAE" w:rsidRDefault="00222344" w:rsidP="00F64C0D">
      <w:pPr>
        <w:pStyle w:val="DHHSbullet1"/>
        <w:numPr>
          <w:ilvl w:val="0"/>
          <w:numId w:val="1"/>
        </w:numPr>
        <w:rPr>
          <w:rFonts w:cs="Arial"/>
        </w:rPr>
      </w:pPr>
      <w:hyperlink r:id="rId23" w:history="1">
        <w:r w:rsidR="00F64C0D" w:rsidRPr="00273D5C">
          <w:rPr>
            <w:rStyle w:val="Hyperlink"/>
            <w:rFonts w:cs="Arial"/>
          </w:rPr>
          <w:t>Human Rights Charter</w:t>
        </w:r>
      </w:hyperlink>
      <w:r w:rsidR="00273D5C">
        <w:rPr>
          <w:rFonts w:cs="Arial"/>
        </w:rPr>
        <w:t xml:space="preserve"> &lt;</w:t>
      </w:r>
      <w:r w:rsidR="00273D5C" w:rsidRPr="0066712F">
        <w:t>https://intranet.dhhs.vic.gov.au/human-rights-charter</w:t>
      </w:r>
      <w:r w:rsidR="00273D5C">
        <w:t>&gt;</w:t>
      </w:r>
    </w:p>
    <w:p w:rsidR="00CB1E75" w:rsidRDefault="00222344" w:rsidP="00CB1E75">
      <w:pPr>
        <w:pStyle w:val="DHHSbullet1"/>
        <w:numPr>
          <w:ilvl w:val="0"/>
          <w:numId w:val="1"/>
        </w:numPr>
      </w:pPr>
      <w:hyperlink r:id="rId24" w:history="1">
        <w:r w:rsidR="00CB1E75" w:rsidRPr="002132E7">
          <w:rPr>
            <w:rStyle w:val="Hyperlink"/>
          </w:rPr>
          <w:t xml:space="preserve">Client incident management and reporting department delivered services </w:t>
        </w:r>
      </w:hyperlink>
      <w:r w:rsidR="00CB1E75">
        <w:t xml:space="preserve"> &lt;</w:t>
      </w:r>
      <w:r w:rsidR="00CB1E75" w:rsidRPr="002132E7">
        <w:t>https://intranet.dhhs.vic.gov.au/client-incident-management-and-reporting-department-delivered-services</w:t>
      </w:r>
      <w:r w:rsidR="00CB1E75">
        <w:t>&gt;</w:t>
      </w:r>
    </w:p>
    <w:p w:rsidR="00CB1E75" w:rsidRDefault="00222344" w:rsidP="00CB1E75">
      <w:pPr>
        <w:pStyle w:val="DHHSbullet1"/>
        <w:numPr>
          <w:ilvl w:val="0"/>
          <w:numId w:val="1"/>
        </w:numPr>
      </w:pPr>
      <w:hyperlink r:id="rId25" w:history="1">
        <w:r w:rsidR="00CB1E75" w:rsidRPr="00B37178">
          <w:rPr>
            <w:rStyle w:val="Hyperlink"/>
          </w:rPr>
          <w:t>Use of Computers</w:t>
        </w:r>
      </w:hyperlink>
      <w:r w:rsidR="00CB1E75">
        <w:t xml:space="preserve"> &lt;</w:t>
      </w:r>
      <w:r w:rsidR="00CB1E75">
        <w:rPr>
          <w:rFonts w:ascii="Helv" w:hAnsi="Helv" w:cs="Helv"/>
          <w:color w:val="000000"/>
          <w:lang w:eastAsia="en-AU"/>
        </w:rPr>
        <w:t>https://intranet.dhhs.vic.gov.au/acceptable-use-technology&gt;</w:t>
      </w:r>
    </w:p>
    <w:p w:rsidR="00F64C0D" w:rsidRPr="00B17EAE" w:rsidRDefault="00F64C0D" w:rsidP="00F64C0D">
      <w:pPr>
        <w:pStyle w:val="DHHSbullet1"/>
        <w:numPr>
          <w:ilvl w:val="0"/>
          <w:numId w:val="1"/>
        </w:numPr>
        <w:rPr>
          <w:rFonts w:cs="Arial"/>
        </w:rPr>
      </w:pPr>
      <w:r w:rsidRPr="00B17EAE">
        <w:rPr>
          <w:rFonts w:cs="Arial"/>
        </w:rPr>
        <w:t xml:space="preserve">Driving Guidelines / </w:t>
      </w:r>
      <w:hyperlink r:id="rId26" w:history="1">
        <w:r w:rsidRPr="00273D5C">
          <w:rPr>
            <w:rStyle w:val="Hyperlink"/>
            <w:rFonts w:cs="Arial"/>
          </w:rPr>
          <w:t>Use of Government Vehicles</w:t>
        </w:r>
      </w:hyperlink>
      <w:r w:rsidR="00273D5C">
        <w:rPr>
          <w:rFonts w:cs="Arial"/>
        </w:rPr>
        <w:t xml:space="preserve"> &lt;</w:t>
      </w:r>
      <w:r w:rsidR="00273D5C" w:rsidRPr="00A47A64">
        <w:t>https://intranet.dhhs.vic.gov.au/standby-and-call-government-vehicle-use</w:t>
      </w:r>
      <w:r w:rsidR="00273D5C">
        <w:t>&gt;</w:t>
      </w:r>
    </w:p>
    <w:p w:rsidR="00F64C0D" w:rsidRPr="00B17EAE" w:rsidRDefault="00222344" w:rsidP="00F64C0D">
      <w:pPr>
        <w:pStyle w:val="DHHSbullet1"/>
        <w:numPr>
          <w:ilvl w:val="0"/>
          <w:numId w:val="1"/>
        </w:numPr>
        <w:rPr>
          <w:rFonts w:cs="Arial"/>
        </w:rPr>
      </w:pPr>
      <w:hyperlink r:id="rId27" w:history="1">
        <w:r w:rsidR="00F64C0D" w:rsidRPr="00D440AC">
          <w:rPr>
            <w:rStyle w:val="Hyperlink"/>
            <w:rFonts w:cs="Arial"/>
          </w:rPr>
          <w:t>Privacy and Confidentiality</w:t>
        </w:r>
      </w:hyperlink>
      <w:r w:rsidR="00D440AC">
        <w:rPr>
          <w:rFonts w:cs="Arial"/>
        </w:rPr>
        <w:t xml:space="preserve"> &lt;</w:t>
      </w:r>
      <w:r w:rsidR="00D440AC" w:rsidRPr="00A82069">
        <w:t>https://intranet.dhhs.vic.gov.au/privacy</w:t>
      </w:r>
      <w:r w:rsidR="00D440AC">
        <w:t>&gt;</w:t>
      </w:r>
    </w:p>
    <w:p w:rsidR="00F64C0D" w:rsidRDefault="00F64C0D" w:rsidP="00F64C0D">
      <w:pPr>
        <w:pStyle w:val="DHHSbullet1"/>
        <w:numPr>
          <w:ilvl w:val="0"/>
          <w:numId w:val="1"/>
        </w:numPr>
        <w:rPr>
          <w:rFonts w:cs="Arial"/>
        </w:rPr>
      </w:pPr>
      <w:r w:rsidRPr="00B17EAE">
        <w:rPr>
          <w:rFonts w:cs="Arial"/>
        </w:rPr>
        <w:t>Duty of Care / Worker Safety</w:t>
      </w:r>
    </w:p>
    <w:p w:rsidR="00C26030" w:rsidRDefault="00C26030" w:rsidP="00F64C0D">
      <w:pPr>
        <w:pStyle w:val="DHHSbullet1"/>
        <w:numPr>
          <w:ilvl w:val="0"/>
          <w:numId w:val="1"/>
        </w:numPr>
        <w:rPr>
          <w:rFonts w:cs="Arial"/>
        </w:rPr>
      </w:pPr>
      <w:r>
        <w:rPr>
          <w:rFonts w:cs="Arial"/>
        </w:rPr>
        <w:t>DHHS Values</w:t>
      </w:r>
    </w:p>
    <w:p w:rsidR="00E05A9E" w:rsidRDefault="00072DC3" w:rsidP="00F64C0D">
      <w:pPr>
        <w:pStyle w:val="DHHSbullet1"/>
        <w:numPr>
          <w:ilvl w:val="0"/>
          <w:numId w:val="1"/>
        </w:numPr>
        <w:rPr>
          <w:rFonts w:cs="Arial"/>
        </w:rPr>
      </w:pPr>
      <w:r>
        <w:rPr>
          <w:rFonts w:cs="Arial"/>
        </w:rPr>
        <w:t>H</w:t>
      </w:r>
      <w:r w:rsidR="00E05A9E">
        <w:rPr>
          <w:rFonts w:cs="Arial"/>
        </w:rPr>
        <w:t>ealth</w:t>
      </w:r>
      <w:r>
        <w:rPr>
          <w:rFonts w:cs="Arial"/>
        </w:rPr>
        <w:t>,</w:t>
      </w:r>
      <w:r w:rsidR="00E05A9E">
        <w:rPr>
          <w:rFonts w:cs="Arial"/>
        </w:rPr>
        <w:t xml:space="preserve"> safety</w:t>
      </w:r>
      <w:r>
        <w:rPr>
          <w:rFonts w:cs="Arial"/>
        </w:rPr>
        <w:t xml:space="preserve"> and wellbeing</w:t>
      </w:r>
      <w:r w:rsidR="00E05A9E">
        <w:rPr>
          <w:rFonts w:cs="Arial"/>
        </w:rPr>
        <w:t xml:space="preserve"> policies</w:t>
      </w:r>
    </w:p>
    <w:p w:rsidR="00F54811" w:rsidRDefault="00F54811" w:rsidP="00F64C0D">
      <w:pPr>
        <w:pStyle w:val="DHHSbullet1"/>
        <w:numPr>
          <w:ilvl w:val="0"/>
          <w:numId w:val="1"/>
        </w:numPr>
        <w:rPr>
          <w:rFonts w:cs="Arial"/>
        </w:rPr>
      </w:pPr>
      <w:r>
        <w:rPr>
          <w:rFonts w:cs="Arial"/>
        </w:rPr>
        <w:t>Occupational violence and risk management guide</w:t>
      </w:r>
      <w:r w:rsidR="00EF678A">
        <w:rPr>
          <w:rFonts w:cs="Arial"/>
        </w:rPr>
        <w:t xml:space="preserve"> for child protection</w:t>
      </w:r>
    </w:p>
    <w:p w:rsidR="00E05A9E" w:rsidRPr="00B82CDC" w:rsidRDefault="00E05A9E" w:rsidP="00F54811">
      <w:pPr>
        <w:pStyle w:val="Heading1"/>
      </w:pPr>
      <w:r w:rsidRPr="00B82CDC">
        <w:t>Learning and Professional Development</w:t>
      </w:r>
    </w:p>
    <w:p w:rsidR="00E05A9E" w:rsidRDefault="00E05A9E" w:rsidP="00F54811">
      <w:pPr>
        <w:pStyle w:val="DHHSbullet1"/>
        <w:numPr>
          <w:ilvl w:val="0"/>
          <w:numId w:val="1"/>
        </w:numPr>
        <w:spacing w:before="320" w:after="200"/>
        <w:rPr>
          <w:rFonts w:cs="Symbol"/>
        </w:rPr>
        <w:sectPr w:rsidR="00E05A9E" w:rsidSect="00F54811">
          <w:type w:val="continuous"/>
          <w:pgSz w:w="11906" w:h="16838" w:code="9"/>
          <w:pgMar w:top="720" w:right="720" w:bottom="720" w:left="720" w:header="567" w:footer="510" w:gutter="0"/>
          <w:cols w:space="340"/>
          <w:titlePg/>
          <w:docGrid w:linePitch="360"/>
        </w:sectPr>
      </w:pPr>
    </w:p>
    <w:p w:rsidR="00E05A9E" w:rsidRDefault="00E05A9E" w:rsidP="00E05A9E">
      <w:pPr>
        <w:pStyle w:val="DHHSbullet1"/>
        <w:numPr>
          <w:ilvl w:val="0"/>
          <w:numId w:val="1"/>
        </w:numPr>
      </w:pPr>
      <w:r w:rsidRPr="005D6518">
        <w:rPr>
          <w:rFonts w:cs="Symbol"/>
        </w:rPr>
        <w:lastRenderedPageBreak/>
        <w:t>O</w:t>
      </w:r>
      <w:r w:rsidRPr="005D6518">
        <w:t>verview</w:t>
      </w:r>
      <w:r>
        <w:t xml:space="preserve"> of local agencies, resources, referral pathways, how Groups/Divisions operate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Advise schedule of external and internal meetings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Discuss training and identify opportunities during placement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Dates for attendance at local forums or events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Arrange for staff conducting client interviews and visits to obtain family/client permission (if applicable)</w:t>
      </w:r>
    </w:p>
    <w:p w:rsidR="00F54811" w:rsidRDefault="004C4D09" w:rsidP="00E05A9E">
      <w:pPr>
        <w:pStyle w:val="DHHSbullet1"/>
        <w:numPr>
          <w:ilvl w:val="0"/>
          <w:numId w:val="1"/>
        </w:numPr>
      </w:pPr>
      <w:r>
        <w:t>S</w:t>
      </w:r>
      <w:r w:rsidR="00F54811">
        <w:t>tudents</w:t>
      </w:r>
      <w:r>
        <w:t xml:space="preserve"> are to</w:t>
      </w:r>
      <w:r w:rsidR="00F54811">
        <w:t xml:space="preserve"> complete the online modules for </w:t>
      </w:r>
      <w:r w:rsidR="00F54811">
        <w:rPr>
          <w:rFonts w:ascii="Helv" w:hAnsi="Helv"/>
          <w:color w:val="000000"/>
        </w:rPr>
        <w:t>Student Placement / Child Protection  Orientation Program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lastRenderedPageBreak/>
        <w:t>Arrange for students to attend Court (if applicable)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Arrange supervision dates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Allocate client case load (if applicable)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Discuss duties that may and may not be undertaken during placement</w:t>
      </w:r>
    </w:p>
    <w:p w:rsidR="00E05A9E" w:rsidRDefault="00E05A9E" w:rsidP="00E05A9E">
      <w:pPr>
        <w:pStyle w:val="DHHSbullet1"/>
        <w:numPr>
          <w:ilvl w:val="0"/>
          <w:numId w:val="1"/>
        </w:numPr>
      </w:pPr>
      <w:r>
        <w:t>Discuss privacy and duty of care</w:t>
      </w:r>
    </w:p>
    <w:p w:rsidR="004C4D09" w:rsidRDefault="00F54811" w:rsidP="00E05A9E">
      <w:pPr>
        <w:pStyle w:val="DHHSbullet1"/>
        <w:numPr>
          <w:ilvl w:val="0"/>
          <w:numId w:val="1"/>
        </w:numPr>
      </w:pPr>
      <w:r>
        <w:t>Discuss</w:t>
      </w:r>
      <w:r w:rsidR="004C4D09">
        <w:t xml:space="preserve"> and demonstrate driver safety and installation of </w:t>
      </w:r>
      <w:r w:rsidR="00E05A9E">
        <w:t>child se</w:t>
      </w:r>
      <w:r>
        <w:t>a</w:t>
      </w:r>
      <w:r w:rsidR="00E05A9E">
        <w:t>t</w:t>
      </w:r>
    </w:p>
    <w:p w:rsidR="00E05A9E" w:rsidRDefault="004C4D09" w:rsidP="00E05A9E">
      <w:pPr>
        <w:pStyle w:val="DHHSbullet1"/>
        <w:numPr>
          <w:ilvl w:val="0"/>
          <w:numId w:val="1"/>
        </w:numPr>
      </w:pPr>
      <w:r>
        <w:t xml:space="preserve">Discuss child behaviour and </w:t>
      </w:r>
      <w:r w:rsidR="00E05A9E">
        <w:t>first aid</w:t>
      </w:r>
    </w:p>
    <w:p w:rsidR="00E05A9E" w:rsidRDefault="00E05A9E" w:rsidP="00F64C0D">
      <w:pPr>
        <w:pStyle w:val="Heading1"/>
        <w:sectPr w:rsidR="00E05A9E" w:rsidSect="00F54811">
          <w:type w:val="continuous"/>
          <w:pgSz w:w="11906" w:h="16838" w:code="9"/>
          <w:pgMar w:top="720" w:right="720" w:bottom="720" w:left="720" w:header="567" w:footer="510" w:gutter="0"/>
          <w:cols w:num="2" w:space="340"/>
          <w:titlePg/>
          <w:docGrid w:linePitch="360"/>
        </w:sectPr>
      </w:pPr>
    </w:p>
    <w:p w:rsidR="00F64C0D" w:rsidRPr="00B82CDC" w:rsidRDefault="00F64C0D" w:rsidP="00F54811">
      <w:pPr>
        <w:pStyle w:val="Heading1"/>
      </w:pPr>
      <w:r w:rsidRPr="00B82CDC">
        <w:lastRenderedPageBreak/>
        <w:t xml:space="preserve">Publications relevant to placement area to be supplied or made accessible </w:t>
      </w:r>
    </w:p>
    <w:p w:rsidR="00E05A9E" w:rsidRDefault="00E05A9E" w:rsidP="00F54811">
      <w:pPr>
        <w:pStyle w:val="DHHSbullet1"/>
        <w:numPr>
          <w:ilvl w:val="0"/>
          <w:numId w:val="1"/>
        </w:numPr>
        <w:spacing w:before="320" w:after="200"/>
        <w:sectPr w:rsidR="00E05A9E" w:rsidSect="00F54811">
          <w:type w:val="continuous"/>
          <w:pgSz w:w="11906" w:h="16838" w:code="9"/>
          <w:pgMar w:top="720" w:right="720" w:bottom="720" w:left="720" w:header="567" w:footer="510" w:gutter="0"/>
          <w:cols w:space="340"/>
          <w:titlePg/>
          <w:docGrid w:linePitch="360"/>
        </w:sectPr>
      </w:pPr>
    </w:p>
    <w:p w:rsidR="00F64C0D" w:rsidRDefault="00F64C0D" w:rsidP="00F64C0D">
      <w:pPr>
        <w:pStyle w:val="DHHSbullet1"/>
        <w:numPr>
          <w:ilvl w:val="0"/>
          <w:numId w:val="1"/>
        </w:numPr>
      </w:pPr>
      <w:r>
        <w:lastRenderedPageBreak/>
        <w:t>Placement program overview</w:t>
      </w:r>
    </w:p>
    <w:p w:rsidR="00F54811" w:rsidRDefault="00897649" w:rsidP="00F64C0D">
      <w:pPr>
        <w:pStyle w:val="DHHSbullet1"/>
        <w:numPr>
          <w:ilvl w:val="0"/>
          <w:numId w:val="1"/>
        </w:numPr>
      </w:pPr>
      <w:r>
        <w:t xml:space="preserve">Access to </w:t>
      </w:r>
      <w:r w:rsidR="00F54811">
        <w:t>Intranet and Child Protection Manual</w:t>
      </w:r>
    </w:p>
    <w:p w:rsidR="00F64C0D" w:rsidRDefault="00F64C0D" w:rsidP="00F64C0D">
      <w:pPr>
        <w:pStyle w:val="DHHSbullet1"/>
        <w:numPr>
          <w:ilvl w:val="0"/>
          <w:numId w:val="1"/>
        </w:numPr>
      </w:pPr>
      <w:r>
        <w:t xml:space="preserve">List of relevant offices and staff contact numbers </w:t>
      </w:r>
    </w:p>
    <w:p w:rsidR="00F64C0D" w:rsidRDefault="00F64C0D" w:rsidP="00F64C0D">
      <w:pPr>
        <w:pStyle w:val="DHHSbullet1"/>
        <w:numPr>
          <w:ilvl w:val="0"/>
          <w:numId w:val="1"/>
        </w:numPr>
      </w:pPr>
      <w:r>
        <w:t>Relevant practice standards</w:t>
      </w:r>
    </w:p>
    <w:p w:rsidR="00F64C0D" w:rsidRDefault="00F64C0D" w:rsidP="00F64C0D">
      <w:pPr>
        <w:pStyle w:val="DHHSbullet1"/>
        <w:numPr>
          <w:ilvl w:val="0"/>
          <w:numId w:val="1"/>
        </w:numPr>
      </w:pPr>
      <w:r>
        <w:t>Acts of Parliament relevant to placement area</w:t>
      </w:r>
    </w:p>
    <w:p w:rsidR="00F64C0D" w:rsidRDefault="00F64C0D" w:rsidP="00F64C0D">
      <w:pPr>
        <w:pStyle w:val="DHHSbullet1"/>
        <w:numPr>
          <w:ilvl w:val="0"/>
          <w:numId w:val="1"/>
        </w:numPr>
      </w:pPr>
      <w:r>
        <w:lastRenderedPageBreak/>
        <w:t>Current protocols</w:t>
      </w:r>
    </w:p>
    <w:p w:rsidR="00F64C0D" w:rsidRDefault="00F64C0D" w:rsidP="00F64C0D">
      <w:pPr>
        <w:pStyle w:val="DHHSbullet1"/>
        <w:numPr>
          <w:ilvl w:val="0"/>
          <w:numId w:val="1"/>
        </w:numPr>
      </w:pPr>
      <w:r>
        <w:t>List of local resources</w:t>
      </w:r>
    </w:p>
    <w:p w:rsidR="00F64C0D" w:rsidRDefault="00F64C0D" w:rsidP="00F64C0D">
      <w:pPr>
        <w:pStyle w:val="DHHSbullet1"/>
        <w:numPr>
          <w:ilvl w:val="0"/>
          <w:numId w:val="1"/>
        </w:numPr>
      </w:pPr>
      <w:r>
        <w:t>List of DHHS policies relevant to placement area to review via website</w:t>
      </w:r>
    </w:p>
    <w:p w:rsidR="00F64C0D" w:rsidRDefault="00F64C0D" w:rsidP="00F64C0D">
      <w:pPr>
        <w:pStyle w:val="DHHSbullet1"/>
        <w:numPr>
          <w:ilvl w:val="0"/>
          <w:numId w:val="1"/>
        </w:numPr>
      </w:pPr>
      <w:r>
        <w:t>Student information folder</w:t>
      </w:r>
    </w:p>
    <w:p w:rsidR="00E05A9E" w:rsidRDefault="00E05A9E" w:rsidP="00F64C0D">
      <w:pPr>
        <w:pStyle w:val="Heading1"/>
        <w:sectPr w:rsidR="00E05A9E" w:rsidSect="00F54811">
          <w:type w:val="continuous"/>
          <w:pgSz w:w="11906" w:h="16838" w:code="9"/>
          <w:pgMar w:top="720" w:right="720" w:bottom="720" w:left="720" w:header="567" w:footer="510" w:gutter="0"/>
          <w:cols w:num="2" w:space="340"/>
          <w:titlePg/>
          <w:docGrid w:linePitch="360"/>
        </w:sectPr>
      </w:pPr>
    </w:p>
    <w:p w:rsidR="00E05A9E" w:rsidRDefault="00E05A9E" w:rsidP="00FD676E">
      <w:pPr>
        <w:pStyle w:val="DHHSbullet1lastline"/>
        <w:numPr>
          <w:ilvl w:val="0"/>
          <w:numId w:val="0"/>
        </w:numPr>
        <w:ind w:left="284"/>
        <w:sectPr w:rsidR="00E05A9E" w:rsidSect="00F54811">
          <w:type w:val="continuous"/>
          <w:pgSz w:w="11906" w:h="16838" w:code="9"/>
          <w:pgMar w:top="720" w:right="720" w:bottom="720" w:left="720" w:header="567" w:footer="510" w:gutter="0"/>
          <w:cols w:num="2" w:space="340"/>
          <w:titlePg/>
          <w:docGrid w:linePitch="360"/>
        </w:sectPr>
      </w:pPr>
    </w:p>
    <w:p w:rsidR="00C26030" w:rsidRDefault="00C26030" w:rsidP="00FD676E">
      <w:pPr>
        <w:pStyle w:val="DHHSbullet1lastline"/>
        <w:numPr>
          <w:ilvl w:val="0"/>
          <w:numId w:val="0"/>
        </w:numPr>
        <w:ind w:left="284"/>
      </w:pPr>
    </w:p>
    <w:p w:rsidR="00E05A9E" w:rsidRDefault="00E05A9E" w:rsidP="00F64C0D">
      <w:pPr>
        <w:pStyle w:val="Heading1"/>
        <w:sectPr w:rsidR="00E05A9E" w:rsidSect="00F54811">
          <w:type w:val="continuous"/>
          <w:pgSz w:w="11906" w:h="16838" w:code="9"/>
          <w:pgMar w:top="720" w:right="720" w:bottom="720" w:left="720" w:header="567" w:footer="510" w:gutter="0"/>
          <w:cols w:num="2" w:space="340"/>
          <w:titlePg/>
          <w:docGrid w:linePitch="360"/>
        </w:sectPr>
      </w:pPr>
    </w:p>
    <w:p w:rsidR="00F64C0D" w:rsidRDefault="00F64C0D" w:rsidP="00F64C0D">
      <w:pPr>
        <w:pStyle w:val="Heading1"/>
        <w:rPr>
          <w:b/>
          <w:sz w:val="22"/>
          <w:szCs w:val="22"/>
          <w:lang w:eastAsia="en-AU"/>
        </w:rPr>
      </w:pPr>
      <w:r>
        <w:lastRenderedPageBreak/>
        <w:t>Approval</w:t>
      </w:r>
    </w:p>
    <w:p w:rsidR="00F64C0D" w:rsidRPr="00B17EAE" w:rsidRDefault="00F64C0D" w:rsidP="00F64C0D">
      <w:pPr>
        <w:pStyle w:val="DHHSbody"/>
        <w:rPr>
          <w:b/>
          <w:lang w:eastAsia="en-AU"/>
        </w:rPr>
      </w:pPr>
      <w:r w:rsidRPr="00B17EAE">
        <w:rPr>
          <w:b/>
          <w:lang w:eastAsia="en-AU"/>
        </w:rPr>
        <w:t xml:space="preserve">The above tasks have been completed (signed by supervisor):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6462"/>
      </w:tblGrid>
      <w:tr w:rsidR="00F64C0D" w:rsidRPr="0081773C" w:rsidTr="00D73233">
        <w:tc>
          <w:tcPr>
            <w:tcW w:w="3285" w:type="dxa"/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  <w:r w:rsidRPr="00B17EAE">
              <w:t xml:space="preserve">Signature: </w:t>
            </w:r>
          </w:p>
        </w:tc>
        <w:tc>
          <w:tcPr>
            <w:tcW w:w="6462" w:type="dxa"/>
            <w:tcBorders>
              <w:top w:val="nil"/>
            </w:tcBorders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</w:p>
        </w:tc>
      </w:tr>
      <w:tr w:rsidR="00F64C0D" w:rsidRPr="0081773C" w:rsidTr="00D73233">
        <w:tc>
          <w:tcPr>
            <w:tcW w:w="3285" w:type="dxa"/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  <w:r w:rsidRPr="00B17EAE">
              <w:t>Name:</w:t>
            </w:r>
          </w:p>
        </w:tc>
        <w:tc>
          <w:tcPr>
            <w:tcW w:w="6462" w:type="dxa"/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</w:p>
        </w:tc>
      </w:tr>
    </w:tbl>
    <w:p w:rsidR="00F64C0D" w:rsidRDefault="00F64C0D" w:rsidP="00F64C0D">
      <w:pPr>
        <w:pStyle w:val="DHHSbody"/>
        <w:rPr>
          <w:b/>
          <w:lang w:eastAsia="en-AU"/>
        </w:rPr>
      </w:pPr>
      <w:r w:rsidRPr="00B17EAE">
        <w:rPr>
          <w:b/>
          <w:lang w:eastAsia="en-AU"/>
        </w:rPr>
        <w:t>Acknowledged by student: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6462"/>
      </w:tblGrid>
      <w:tr w:rsidR="00F64C0D" w:rsidRPr="00B17EAE" w:rsidTr="00F64C0D">
        <w:tc>
          <w:tcPr>
            <w:tcW w:w="3285" w:type="dxa"/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  <w:r w:rsidRPr="00B17EAE">
              <w:t xml:space="preserve">Signature: </w:t>
            </w:r>
          </w:p>
        </w:tc>
        <w:tc>
          <w:tcPr>
            <w:tcW w:w="6462" w:type="dxa"/>
            <w:tcBorders>
              <w:top w:val="nil"/>
            </w:tcBorders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</w:p>
        </w:tc>
      </w:tr>
      <w:tr w:rsidR="00F64C0D" w:rsidRPr="00B17EAE" w:rsidTr="00F64C0D">
        <w:tc>
          <w:tcPr>
            <w:tcW w:w="3285" w:type="dxa"/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  <w:r w:rsidRPr="00B17EAE">
              <w:t>Name:</w:t>
            </w:r>
          </w:p>
        </w:tc>
        <w:tc>
          <w:tcPr>
            <w:tcW w:w="6462" w:type="dxa"/>
            <w:shd w:val="clear" w:color="auto" w:fill="auto"/>
          </w:tcPr>
          <w:p w:rsidR="00F64C0D" w:rsidRPr="00B17EAE" w:rsidRDefault="00F64C0D" w:rsidP="00D73233">
            <w:pPr>
              <w:pStyle w:val="DHHStabletext"/>
            </w:pPr>
          </w:p>
        </w:tc>
      </w:tr>
    </w:tbl>
    <w:p w:rsidR="00273D5C" w:rsidRDefault="00273D5C"/>
    <w:p w:rsidR="00273D5C" w:rsidRDefault="00273D5C">
      <w:r>
        <w:br w:type="page"/>
      </w:r>
    </w:p>
    <w:tbl>
      <w:tblPr>
        <w:tblW w:w="0" w:type="auto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F64C0D">
        <w:trPr>
          <w:cantSplit/>
        </w:trPr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0D" w:rsidRPr="00605B5B" w:rsidRDefault="00273D5C" w:rsidP="00F64C0D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>
              <w:lastRenderedPageBreak/>
              <w:br w:type="page"/>
            </w:r>
            <w:r w:rsidR="00F64C0D" w:rsidRPr="00605B5B">
              <w:rPr>
                <w:rFonts w:ascii="Arial" w:eastAsia="Times" w:hAnsi="Arial"/>
                <w:sz w:val="24"/>
                <w:szCs w:val="19"/>
              </w:rPr>
              <w:t xml:space="preserve">To receive this publication in an accessible format </w:t>
            </w:r>
            <w:hyperlink r:id="rId28" w:history="1">
              <w:r w:rsidR="00F64C0D" w:rsidRPr="00421496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Student Placements</w:t>
              </w:r>
            </w:hyperlink>
            <w:r w:rsidR="00F64C0D" w:rsidRPr="00605B5B">
              <w:rPr>
                <w:rFonts w:ascii="Arial" w:eastAsia="Times" w:hAnsi="Arial"/>
                <w:sz w:val="24"/>
                <w:szCs w:val="19"/>
              </w:rPr>
              <w:t xml:space="preserve"> </w:t>
            </w:r>
            <w:r w:rsidR="00F64C0D" w:rsidRPr="00421496">
              <w:rPr>
                <w:rFonts w:ascii="Arial" w:eastAsia="Times" w:hAnsi="Arial"/>
                <w:sz w:val="24"/>
                <w:szCs w:val="19"/>
              </w:rPr>
              <w:t>&lt;studentplacements@dhhs.vic.gov.au&gt;</w:t>
            </w:r>
          </w:p>
          <w:p w:rsidR="002802E3" w:rsidRPr="002802E3" w:rsidRDefault="00F64C0D" w:rsidP="00F64C0D">
            <w:pPr>
              <w:spacing w:line="180" w:lineRule="atLeast"/>
            </w:pPr>
            <w:r w:rsidRPr="00F64C0D">
              <w:rPr>
                <w:rFonts w:ascii="Arial" w:eastAsia="Times" w:hAnsi="Arial"/>
                <w:sz w:val="16"/>
                <w:szCs w:val="16"/>
              </w:rPr>
              <w:t>Authorised and published by the Victorian Government, 1 Treasury Place, Melbourne.</w:t>
            </w:r>
            <w:r>
              <w:rPr>
                <w:rFonts w:ascii="Arial" w:eastAsia="Times" w:hAnsi="Arial"/>
                <w:sz w:val="16"/>
                <w:szCs w:val="16"/>
              </w:rPr>
              <w:t xml:space="preserve"> </w:t>
            </w:r>
            <w:r w:rsidRPr="00F64C0D">
              <w:rPr>
                <w:rFonts w:ascii="Arial" w:eastAsia="Times" w:hAnsi="Arial"/>
                <w:sz w:val="16"/>
                <w:szCs w:val="16"/>
              </w:rPr>
              <w:t>© State of Victoria, Department of Health and Human Services, July 2018.</w:t>
            </w:r>
            <w:r>
              <w:rPr>
                <w:rFonts w:ascii="Arial" w:eastAsia="Times" w:hAnsi="Arial"/>
                <w:sz w:val="16"/>
                <w:szCs w:val="16"/>
              </w:rPr>
              <w:t xml:space="preserve"> </w:t>
            </w:r>
            <w:r w:rsidRPr="00F64C0D">
              <w:rPr>
                <w:rFonts w:ascii="Arial" w:eastAsia="Times" w:hAnsi="Arial"/>
                <w:sz w:val="16"/>
                <w:szCs w:val="16"/>
              </w:rPr>
              <w:t>Where the term ‘Aboriginal’ is used it refers to both Aboriginal and Torres Strait Islander people. Indigenous is retained when it is part of the title of a report, program or quotation.</w:t>
            </w:r>
            <w:r>
              <w:rPr>
                <w:rFonts w:ascii="Arial" w:eastAsia="Times" w:hAnsi="Arial"/>
                <w:sz w:val="16"/>
                <w:szCs w:val="16"/>
              </w:rPr>
              <w:t xml:space="preserve"> </w:t>
            </w:r>
            <w:r w:rsidRPr="00F64C0D">
              <w:rPr>
                <w:rFonts w:ascii="Arial" w:eastAsia="Times" w:hAnsi="Arial"/>
                <w:sz w:val="16"/>
                <w:szCs w:val="16"/>
              </w:rPr>
              <w:t>If you print and store this document, you may be looking at an obsolete version. Always check the latest version of this document on the intranet.</w:t>
            </w:r>
            <w:r>
              <w:rPr>
                <w:rFonts w:ascii="Arial" w:eastAsia="Times" w:hAnsi="Arial"/>
                <w:sz w:val="16"/>
                <w:szCs w:val="16"/>
              </w:rPr>
              <w:t xml:space="preserve"> </w:t>
            </w:r>
            <w:r w:rsidRPr="00F64C0D">
              <w:rPr>
                <w:rFonts w:ascii="Arial" w:eastAsia="Times" w:hAnsi="Arial"/>
                <w:sz w:val="16"/>
                <w:szCs w:val="16"/>
              </w:rPr>
              <w:t>For further information, please contact your local People and Culture Unit</w:t>
            </w:r>
            <w:r w:rsidR="00455F23">
              <w:rPr>
                <w:rFonts w:ascii="Arial" w:eastAsia="Times" w:hAnsi="Arial"/>
                <w:sz w:val="16"/>
                <w:szCs w:val="16"/>
              </w:rPr>
              <w:t xml:space="preserve">. </w:t>
            </w:r>
            <w:r w:rsidR="00455F23" w:rsidRPr="00300652">
              <w:rPr>
                <w:rFonts w:ascii="Arial" w:eastAsia="Times" w:hAnsi="Arial"/>
                <w:sz w:val="16"/>
                <w:szCs w:val="16"/>
              </w:rPr>
              <w:t xml:space="preserve"> Available at </w:t>
            </w:r>
            <w:hyperlink r:id="rId29" w:history="1">
              <w:r w:rsidR="00455F23" w:rsidRPr="00300652">
                <w:rPr>
                  <w:rStyle w:val="Hyperlink"/>
                  <w:rFonts w:ascii="Arial" w:eastAsia="Times" w:hAnsi="Arial"/>
                  <w:sz w:val="16"/>
                  <w:szCs w:val="16"/>
                </w:rPr>
                <w:t>Student Placements</w:t>
              </w:r>
            </w:hyperlink>
            <w:r w:rsidR="00455F23" w:rsidRPr="00300652">
              <w:rPr>
                <w:rFonts w:ascii="Arial" w:eastAsia="Times" w:hAnsi="Arial"/>
                <w:sz w:val="16"/>
                <w:szCs w:val="16"/>
              </w:rPr>
              <w:t xml:space="preserve"> &lt;https://intranet.dhhs.vic.gov.au/student-placements&gt;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54811">
      <w:type w:val="continuous"/>
      <w:pgSz w:w="11906" w:h="16838" w:code="9"/>
      <w:pgMar w:top="720" w:right="720" w:bottom="720" w:left="720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1E" w:rsidRDefault="00CC391E">
      <w:r>
        <w:separator/>
      </w:r>
    </w:p>
  </w:endnote>
  <w:endnote w:type="continuationSeparator" w:id="0">
    <w:p w:rsidR="00CC391E" w:rsidRDefault="00CC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07" w:rsidRDefault="00BB2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4D397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03C29096" wp14:editId="5A317E44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3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07" w:rsidRDefault="00BB220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F64C0D" w:rsidP="0051568D">
    <w:pPr>
      <w:pStyle w:val="DHHSfooter"/>
    </w:pPr>
    <w:r w:rsidRPr="00F64C0D">
      <w:t>Child Protection – student placement orientation checklist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22344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1E" w:rsidRDefault="00CC391E" w:rsidP="002862F1">
      <w:pPr>
        <w:spacing w:before="120"/>
      </w:pPr>
      <w:r>
        <w:separator/>
      </w:r>
    </w:p>
  </w:footnote>
  <w:footnote w:type="continuationSeparator" w:id="0">
    <w:p w:rsidR="00CC391E" w:rsidRDefault="00CC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07" w:rsidRDefault="00BB22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07" w:rsidRDefault="00BB22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07" w:rsidRDefault="00BB220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1F6210E"/>
    <w:multiLevelType w:val="hybridMultilevel"/>
    <w:tmpl w:val="8AF0A9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BA1E5A"/>
    <w:multiLevelType w:val="multilevel"/>
    <w:tmpl w:val="0F0699DE"/>
    <w:styleLink w:val="ZZ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</w:num>
  <w:num w:numId="10">
    <w:abstractNumId w:val="4"/>
  </w:num>
  <w:num w:numId="11">
    <w:abstractNumId w:val="5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D"/>
    <w:rsid w:val="000072B6"/>
    <w:rsid w:val="0001021B"/>
    <w:rsid w:val="00011D89"/>
    <w:rsid w:val="00024D89"/>
    <w:rsid w:val="000250B6"/>
    <w:rsid w:val="00032FD9"/>
    <w:rsid w:val="00033D81"/>
    <w:rsid w:val="00041BF0"/>
    <w:rsid w:val="0004536B"/>
    <w:rsid w:val="00046B68"/>
    <w:rsid w:val="000527DD"/>
    <w:rsid w:val="000578B2"/>
    <w:rsid w:val="00060959"/>
    <w:rsid w:val="000663CD"/>
    <w:rsid w:val="00072DC3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329C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19F2"/>
    <w:rsid w:val="00192F9D"/>
    <w:rsid w:val="00196EB8"/>
    <w:rsid w:val="00196EFB"/>
    <w:rsid w:val="001979FF"/>
    <w:rsid w:val="00197B17"/>
    <w:rsid w:val="001A3ACE"/>
    <w:rsid w:val="001C1C9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34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3D5C"/>
    <w:rsid w:val="002763B3"/>
    <w:rsid w:val="002802E3"/>
    <w:rsid w:val="0028213D"/>
    <w:rsid w:val="002862F1"/>
    <w:rsid w:val="00287B0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61AC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0A49"/>
    <w:rsid w:val="003E7FE5"/>
    <w:rsid w:val="003F0445"/>
    <w:rsid w:val="003F0CF0"/>
    <w:rsid w:val="003F14B1"/>
    <w:rsid w:val="003F3289"/>
    <w:rsid w:val="00401FCF"/>
    <w:rsid w:val="00406285"/>
    <w:rsid w:val="00412487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5F23"/>
    <w:rsid w:val="0045604C"/>
    <w:rsid w:val="00457337"/>
    <w:rsid w:val="0047372D"/>
    <w:rsid w:val="004743DD"/>
    <w:rsid w:val="00474CEA"/>
    <w:rsid w:val="00483968"/>
    <w:rsid w:val="00484F86"/>
    <w:rsid w:val="00490746"/>
    <w:rsid w:val="00490852"/>
    <w:rsid w:val="00490E77"/>
    <w:rsid w:val="00492F30"/>
    <w:rsid w:val="004946F4"/>
    <w:rsid w:val="0049487E"/>
    <w:rsid w:val="004A160D"/>
    <w:rsid w:val="004A3E81"/>
    <w:rsid w:val="004A5C62"/>
    <w:rsid w:val="004A707D"/>
    <w:rsid w:val="004C3FAB"/>
    <w:rsid w:val="004C4D09"/>
    <w:rsid w:val="004C6EEE"/>
    <w:rsid w:val="004C702B"/>
    <w:rsid w:val="004D016B"/>
    <w:rsid w:val="004D1B22"/>
    <w:rsid w:val="004D36F2"/>
    <w:rsid w:val="004D3975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4ED5"/>
    <w:rsid w:val="006454E6"/>
    <w:rsid w:val="00646A68"/>
    <w:rsid w:val="0065092E"/>
    <w:rsid w:val="006557A7"/>
    <w:rsid w:val="00656290"/>
    <w:rsid w:val="006565B7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C7484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6FF5"/>
    <w:rsid w:val="00763139"/>
    <w:rsid w:val="00770F37"/>
    <w:rsid w:val="007711A0"/>
    <w:rsid w:val="00772D5E"/>
    <w:rsid w:val="00776928"/>
    <w:rsid w:val="00785677"/>
    <w:rsid w:val="00786F16"/>
    <w:rsid w:val="00787B80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22D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7649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1CDA"/>
    <w:rsid w:val="00924AE1"/>
    <w:rsid w:val="009269B1"/>
    <w:rsid w:val="0092724D"/>
    <w:rsid w:val="00937BD9"/>
    <w:rsid w:val="00946D0D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32AB"/>
    <w:rsid w:val="00A671B9"/>
    <w:rsid w:val="00A67263"/>
    <w:rsid w:val="00A7161C"/>
    <w:rsid w:val="00A71B6F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87F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0FBA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1F45"/>
    <w:rsid w:val="00BA3F8D"/>
    <w:rsid w:val="00BB2207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6030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6EC8"/>
    <w:rsid w:val="00CA12E3"/>
    <w:rsid w:val="00CA6611"/>
    <w:rsid w:val="00CA6AE6"/>
    <w:rsid w:val="00CA782F"/>
    <w:rsid w:val="00CB1E75"/>
    <w:rsid w:val="00CB3285"/>
    <w:rsid w:val="00CC0C72"/>
    <w:rsid w:val="00CC2BFD"/>
    <w:rsid w:val="00CC391E"/>
    <w:rsid w:val="00CD0E3C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40AC"/>
    <w:rsid w:val="00D4606D"/>
    <w:rsid w:val="00D50B9C"/>
    <w:rsid w:val="00D52D73"/>
    <w:rsid w:val="00D52E58"/>
    <w:rsid w:val="00D714CC"/>
    <w:rsid w:val="00D73233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05A9E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678A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4811"/>
    <w:rsid w:val="00F55B21"/>
    <w:rsid w:val="00F56EF6"/>
    <w:rsid w:val="00F61A9F"/>
    <w:rsid w:val="00F64696"/>
    <w:rsid w:val="00F64C0D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3853"/>
    <w:rsid w:val="00FD47C4"/>
    <w:rsid w:val="00FD676E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F64C0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2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F64C0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2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intranet.dhhs.vic.gov.au/acceptable-use-technology" TargetMode="External"/><Relationship Id="rId26" Type="http://schemas.openxmlformats.org/officeDocument/2006/relationships/hyperlink" Target="https://intranet.dhhs.vic.gov.au/standby-and-call-government-vehicle-use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ranet.dhhs.vic.gov.a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intranet.dhhs.vic.gov.au/acceptable-use-technology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intranet.dhhs.vic.gov.au/working-at-dhhs/about-you/training/lotus-notes-853-comprehensive" TargetMode="External"/><Relationship Id="rId29" Type="http://schemas.openxmlformats.org/officeDocument/2006/relationships/hyperlink" Target="https://intranet.dhhs.vic.gov.au/student-placem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intranet.dhhs.vic.gov.au/client-incident-management-and-reporting-department-delivered-services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intranet.dhhs.vic.gov.au/human-rights-charter" TargetMode="External"/><Relationship Id="rId28" Type="http://schemas.openxmlformats.org/officeDocument/2006/relationships/hyperlink" Target="mailto:studentplacements@dhhs.vic.gov.au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ranet.dhhs.vic.gov.au/cris-client-relationship-information-syste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vpsc.vic.gov.au/html-resources/code-of-conduct-for-victorian-public-sector-employees/" TargetMode="External"/><Relationship Id="rId27" Type="http://schemas.openxmlformats.org/officeDocument/2006/relationships/hyperlink" Target="https://intranet.dhhs.vic.gov.au/privacy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2DA8-9311-44B7-9B3A-B42A8D75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2</TotalTime>
  <Pages>4</Pages>
  <Words>675</Words>
  <Characters>5727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– student placement orientation checklist</vt:lpstr>
    </vt:vector>
  </TitlesOfParts>
  <Company>Department of Health and Human Services</Company>
  <LinksUpToDate>false</LinksUpToDate>
  <CharactersWithSpaces>6390</CharactersWithSpaces>
  <SharedDoc>false</SharedDoc>
  <HyperlinkBase/>
  <HLinks>
    <vt:vector size="6" baseType="variant"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mailto:studentplacements@dhhs.vic.gov.au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– student placement orientation checklist</dc:title>
  <dc:subject>Child Protection – student placement orientation checklist</dc:subject>
  <dc:creator>People and Culture</dc:creator>
  <cp:keywords>student placement, orientation, child protection</cp:keywords>
  <cp:lastModifiedBy>Janelle Francis</cp:lastModifiedBy>
  <cp:revision>4</cp:revision>
  <cp:lastPrinted>2015-08-21T04:17:00Z</cp:lastPrinted>
  <dcterms:created xsi:type="dcterms:W3CDTF">2018-12-21T04:04:00Z</dcterms:created>
  <dcterms:modified xsi:type="dcterms:W3CDTF">2018-12-21T04:57:00Z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