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1E89D795">
            <wp:simplePos x="0" y="0"/>
            <wp:positionH relativeFrom="page">
              <wp:align>left</wp:align>
            </wp:positionH>
            <wp:positionV relativeFrom="page">
              <wp:align>top</wp:align>
            </wp:positionV>
            <wp:extent cx="7555865" cy="2082800"/>
            <wp:effectExtent l="0" t="0" r="63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b="80506"/>
                    <a:stretch/>
                  </pic:blipFill>
                  <pic:spPr bwMode="auto">
                    <a:xfrm>
                      <a:off x="0" y="0"/>
                      <a:ext cx="7556400" cy="20829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2709C3B8">
        <w:trPr>
          <w:trHeight w:val="1418"/>
        </w:trPr>
        <w:tc>
          <w:tcPr>
            <w:tcW w:w="7825" w:type="dxa"/>
            <w:vAlign w:val="bottom"/>
          </w:tcPr>
          <w:p w14:paraId="1B06FE4C" w14:textId="097DEEA6" w:rsidR="00AD784C" w:rsidRPr="0009050A" w:rsidRDefault="004927E5" w:rsidP="0016037B">
            <w:pPr>
              <w:pStyle w:val="Documenttitle"/>
            </w:pPr>
            <w:r>
              <w:t xml:space="preserve">Significant persons </w:t>
            </w:r>
            <w:r w:rsidR="00314366">
              <w:t>practice guidance</w:t>
            </w:r>
          </w:p>
        </w:tc>
      </w:tr>
      <w:tr w:rsidR="000B2117" w14:paraId="5DF317EC" w14:textId="77777777" w:rsidTr="2709C3B8">
        <w:trPr>
          <w:trHeight w:val="1247"/>
        </w:trPr>
        <w:tc>
          <w:tcPr>
            <w:tcW w:w="7825" w:type="dxa"/>
          </w:tcPr>
          <w:p w14:paraId="69C24C39" w14:textId="244E9545" w:rsidR="000B2117" w:rsidRPr="0016037B" w:rsidRDefault="000B2117" w:rsidP="0016037B">
            <w:pPr>
              <w:pStyle w:val="Documentsubtitle"/>
            </w:pPr>
          </w:p>
        </w:tc>
      </w:tr>
      <w:tr w:rsidR="00CF4148" w14:paraId="5F5E6105" w14:textId="77777777" w:rsidTr="2709C3B8">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343D3BA8" w14:textId="77777777" w:rsidR="00314366" w:rsidRDefault="00314366" w:rsidP="00314366">
      <w:pPr>
        <w:rPr>
          <w:sz w:val="24"/>
          <w:szCs w:val="24"/>
          <w:lang w:val="en-GB"/>
        </w:rPr>
      </w:pPr>
    </w:p>
    <w:p w14:paraId="2C26658A" w14:textId="77777777" w:rsidR="00314366" w:rsidRPr="00AA38B4" w:rsidRDefault="00314366" w:rsidP="00314366">
      <w:pPr>
        <w:pStyle w:val="Heading1"/>
        <w:rPr>
          <w:lang w:val="en-GB"/>
        </w:rPr>
      </w:pPr>
      <w:r w:rsidRPr="00AA38B4">
        <w:rPr>
          <w:lang w:val="en-GB"/>
        </w:rPr>
        <w:t>Introduction</w:t>
      </w:r>
    </w:p>
    <w:p w14:paraId="581219E0" w14:textId="4C95383F" w:rsidR="00314366" w:rsidRPr="00314366" w:rsidRDefault="00314366" w:rsidP="00314366">
      <w:pPr>
        <w:pStyle w:val="Body"/>
      </w:pPr>
      <w:r>
        <w:t xml:space="preserve">A child’s right to remain connected to people who matter to them is enshrined in the </w:t>
      </w:r>
      <w:hyperlink r:id="rId14">
        <w:r w:rsidRPr="1F9D0CB2">
          <w:rPr>
            <w:rStyle w:val="Hyperlink"/>
          </w:rPr>
          <w:t>United Nations Convention on the Rights of the Child</w:t>
        </w:r>
      </w:hyperlink>
      <w:r>
        <w:t xml:space="preserve"> and it is embedded in the </w:t>
      </w:r>
      <w:r w:rsidRPr="00F47F4E">
        <w:rPr>
          <w:i/>
          <w:iCs/>
        </w:rPr>
        <w:t>Children, Youth and Family Act</w:t>
      </w:r>
      <w:r w:rsidR="000A5D51" w:rsidRPr="1F9D0CB2">
        <w:rPr>
          <w:i/>
          <w:iCs/>
        </w:rPr>
        <w:t xml:space="preserve">, </w:t>
      </w:r>
      <w:r w:rsidR="000A5D51" w:rsidRPr="00F47F4E">
        <w:t>2005 (CYFA)</w:t>
      </w:r>
      <w:r>
        <w:t xml:space="preserve"> and the </w:t>
      </w:r>
      <w:hyperlink r:id="rId15">
        <w:r w:rsidRPr="1F9D0CB2">
          <w:rPr>
            <w:rStyle w:val="Hyperlink"/>
          </w:rPr>
          <w:t>Charter for children in out-of-home care</w:t>
        </w:r>
      </w:hyperlink>
      <w:r>
        <w:t xml:space="preserve"> (the Charter). The Charter outlines the obligation to ensure every child and young person in care ‘keeps in contact with family, friends and people and places that matter to them’. </w:t>
      </w:r>
    </w:p>
    <w:p w14:paraId="49778FCD" w14:textId="128726A4" w:rsidR="00314366" w:rsidRPr="00314366" w:rsidRDefault="00314366" w:rsidP="00314366">
      <w:pPr>
        <w:pStyle w:val="Body"/>
        <w:rPr>
          <w:szCs w:val="21"/>
          <w:lang w:val="en-GB"/>
        </w:rPr>
      </w:pPr>
      <w:r w:rsidRPr="00314366">
        <w:rPr>
          <w:szCs w:val="21"/>
          <w:lang w:val="en-GB"/>
        </w:rPr>
        <w:t xml:space="preserve">Evidence shows that future health, wellbeing and lifespan is directly related to meaningful belonging and connection. Children and young people experience belonging by being a part of an enduring network of peers and </w:t>
      </w:r>
      <w:r w:rsidR="004A127D">
        <w:rPr>
          <w:szCs w:val="21"/>
          <w:lang w:val="en-GB"/>
        </w:rPr>
        <w:t xml:space="preserve">significant persons </w:t>
      </w:r>
      <w:r w:rsidRPr="00314366">
        <w:rPr>
          <w:szCs w:val="21"/>
          <w:lang w:val="en-GB"/>
        </w:rPr>
        <w:t xml:space="preserve">who value and care about them. </w:t>
      </w:r>
    </w:p>
    <w:p w14:paraId="0AD474C2" w14:textId="0A7E0C3A" w:rsidR="00314366" w:rsidRPr="00314366" w:rsidRDefault="00314366" w:rsidP="1F9D0CB2">
      <w:pPr>
        <w:pStyle w:val="Body"/>
        <w:rPr>
          <w:lang w:val="en-GB"/>
        </w:rPr>
      </w:pPr>
      <w:r w:rsidRPr="1F9D0CB2">
        <w:rPr>
          <w:lang w:val="en-GB"/>
        </w:rPr>
        <w:t xml:space="preserve">Children and young people in care have a right to feel </w:t>
      </w:r>
      <w:r w:rsidR="00094A80" w:rsidRPr="1F9D0CB2">
        <w:rPr>
          <w:lang w:val="en-GB"/>
        </w:rPr>
        <w:t>t</w:t>
      </w:r>
      <w:r w:rsidR="00605CEB" w:rsidRPr="1F9D0CB2">
        <w:rPr>
          <w:lang w:val="en-GB"/>
        </w:rPr>
        <w:t>hey belong</w:t>
      </w:r>
      <w:r w:rsidRPr="1F9D0CB2">
        <w:rPr>
          <w:lang w:val="en-GB"/>
        </w:rPr>
        <w:t xml:space="preserve"> and be protected from further unnecessary loss of relationships that are central to their identity, belonging and safety. Prioritise and urgently act to foster and sustain the child’s relationships with </w:t>
      </w:r>
      <w:r w:rsidR="00410835">
        <w:rPr>
          <w:lang w:val="en-GB"/>
        </w:rPr>
        <w:t>significant persons</w:t>
      </w:r>
      <w:r w:rsidRPr="1F9D0CB2">
        <w:rPr>
          <w:lang w:val="en-GB"/>
        </w:rPr>
        <w:t xml:space="preserve"> in line with their best interests.</w:t>
      </w:r>
    </w:p>
    <w:p w14:paraId="138FDC52" w14:textId="77777777" w:rsidR="00314366" w:rsidRPr="00AA38B4" w:rsidRDefault="00314366" w:rsidP="00314366">
      <w:pPr>
        <w:pStyle w:val="Heading1"/>
        <w:rPr>
          <w:lang w:val="en-GB"/>
        </w:rPr>
      </w:pPr>
      <w:r w:rsidRPr="00AA38B4">
        <w:rPr>
          <w:lang w:val="en-GB"/>
        </w:rPr>
        <w:t>Definition</w:t>
      </w:r>
    </w:p>
    <w:p w14:paraId="1103DEDA" w14:textId="2386C7FA" w:rsidR="00314366" w:rsidRPr="00314366" w:rsidRDefault="00410835" w:rsidP="00314366">
      <w:pPr>
        <w:pStyle w:val="Body"/>
        <w:rPr>
          <w:szCs w:val="21"/>
          <w:lang w:val="en-GB"/>
        </w:rPr>
      </w:pPr>
      <w:r>
        <w:rPr>
          <w:szCs w:val="21"/>
          <w:lang w:val="en-GB"/>
        </w:rPr>
        <w:t>A significant person</w:t>
      </w:r>
      <w:r w:rsidR="00314366" w:rsidRPr="00314366">
        <w:rPr>
          <w:szCs w:val="21"/>
          <w:lang w:val="en-GB"/>
        </w:rPr>
        <w:t xml:space="preserve"> is any safe adult other than the child’s parent who has, or could, care about the child; or who the child has a felt sense of connection to. These may be adults who are in the child’s life currently or previously; or they may be adults who the child has not had the opportunity to meet (such as an extended family member) but there is opportunity for an enduring relationship to be created. </w:t>
      </w:r>
      <w:r w:rsidR="00351A05">
        <w:rPr>
          <w:szCs w:val="21"/>
          <w:lang w:val="en-GB"/>
        </w:rPr>
        <w:t>Significant persons</w:t>
      </w:r>
      <w:r w:rsidR="00314366" w:rsidRPr="00314366">
        <w:rPr>
          <w:szCs w:val="21"/>
          <w:lang w:val="en-GB"/>
        </w:rPr>
        <w:t xml:space="preserve"> may include, but are not limited to:</w:t>
      </w:r>
    </w:p>
    <w:p w14:paraId="5C89195A" w14:textId="77777777" w:rsidR="00314366" w:rsidRPr="00314366" w:rsidRDefault="00314366" w:rsidP="00314366">
      <w:pPr>
        <w:pStyle w:val="Bullet1"/>
        <w:rPr>
          <w:szCs w:val="21"/>
          <w:lang w:val="en-GB"/>
        </w:rPr>
      </w:pPr>
      <w:r w:rsidRPr="00314366">
        <w:rPr>
          <w:szCs w:val="21"/>
          <w:lang w:val="en-GB"/>
        </w:rPr>
        <w:t>Extended family, kith or kin</w:t>
      </w:r>
    </w:p>
    <w:p w14:paraId="129E6877" w14:textId="77777777" w:rsidR="00314366" w:rsidRPr="00314366" w:rsidRDefault="00314366" w:rsidP="00314366">
      <w:pPr>
        <w:pStyle w:val="Bullet1"/>
        <w:rPr>
          <w:szCs w:val="21"/>
          <w:lang w:val="en-GB"/>
        </w:rPr>
      </w:pPr>
      <w:r w:rsidRPr="00314366">
        <w:rPr>
          <w:szCs w:val="21"/>
          <w:lang w:val="en-GB"/>
        </w:rPr>
        <w:t>Previous caregivers</w:t>
      </w:r>
    </w:p>
    <w:p w14:paraId="621A5DBE" w14:textId="77777777" w:rsidR="00314366" w:rsidRPr="00314366" w:rsidRDefault="00314366" w:rsidP="00314366">
      <w:pPr>
        <w:pStyle w:val="Bullet1"/>
        <w:rPr>
          <w:szCs w:val="21"/>
          <w:lang w:val="en-GB"/>
        </w:rPr>
      </w:pPr>
      <w:r w:rsidRPr="00314366">
        <w:rPr>
          <w:szCs w:val="21"/>
          <w:lang w:val="en-GB"/>
        </w:rPr>
        <w:t>Elders or members of the child’s cultural community</w:t>
      </w:r>
    </w:p>
    <w:p w14:paraId="288B2AED" w14:textId="77777777" w:rsidR="00314366" w:rsidRPr="00314366" w:rsidRDefault="00314366" w:rsidP="00314366">
      <w:pPr>
        <w:pStyle w:val="Bullet1"/>
        <w:rPr>
          <w:szCs w:val="21"/>
          <w:lang w:val="en-GB"/>
        </w:rPr>
      </w:pPr>
      <w:r w:rsidRPr="00314366">
        <w:rPr>
          <w:szCs w:val="21"/>
          <w:lang w:val="en-GB"/>
        </w:rPr>
        <w:t>Neighbours or a friends’ parents.</w:t>
      </w:r>
    </w:p>
    <w:p w14:paraId="7DFA84F6" w14:textId="04B276E0" w:rsidR="00314366" w:rsidRPr="00314366" w:rsidRDefault="00314366" w:rsidP="00314366">
      <w:pPr>
        <w:pStyle w:val="Bullet1"/>
        <w:rPr>
          <w:szCs w:val="21"/>
          <w:lang w:val="en-GB"/>
        </w:rPr>
      </w:pPr>
      <w:r w:rsidRPr="00314366">
        <w:rPr>
          <w:szCs w:val="21"/>
          <w:lang w:val="en-GB"/>
        </w:rPr>
        <w:t>A</w:t>
      </w:r>
      <w:r w:rsidR="00C161C8">
        <w:rPr>
          <w:szCs w:val="21"/>
          <w:lang w:val="en-GB"/>
        </w:rPr>
        <w:t xml:space="preserve"> significant person</w:t>
      </w:r>
      <w:r w:rsidRPr="00314366">
        <w:rPr>
          <w:szCs w:val="21"/>
          <w:lang w:val="en-GB"/>
        </w:rPr>
        <w:t xml:space="preserve"> will need to be subject to an assessment to determine the safety of their contact with the child.</w:t>
      </w:r>
    </w:p>
    <w:p w14:paraId="0ECBBA6C" w14:textId="77777777" w:rsidR="00314366" w:rsidRPr="00314366" w:rsidRDefault="00314366" w:rsidP="00314366">
      <w:pPr>
        <w:pStyle w:val="Heading1"/>
      </w:pPr>
      <w:r w:rsidRPr="00314366">
        <w:t>Belonging is a key practice consideration</w:t>
      </w:r>
    </w:p>
    <w:p w14:paraId="38BB67D3" w14:textId="77777777" w:rsidR="00314366" w:rsidRPr="00314366" w:rsidRDefault="00314366" w:rsidP="00314366">
      <w:pPr>
        <w:pStyle w:val="Body"/>
        <w:rPr>
          <w:szCs w:val="21"/>
          <w:lang w:val="en-GB"/>
        </w:rPr>
      </w:pPr>
      <w:r w:rsidRPr="00314366">
        <w:rPr>
          <w:szCs w:val="21"/>
          <w:lang w:val="en-GB"/>
        </w:rPr>
        <w:t xml:space="preserve">Focus practice on sustaining a child’s belonging as part of searching for suitable placement options. The child’s belonging must always be the starting place. From there consider placement options. </w:t>
      </w:r>
    </w:p>
    <w:p w14:paraId="088AD209" w14:textId="7FDF28E9" w:rsidR="00314366" w:rsidRPr="00314366" w:rsidRDefault="00314366" w:rsidP="00314366">
      <w:pPr>
        <w:pStyle w:val="Body"/>
        <w:rPr>
          <w:szCs w:val="21"/>
          <w:lang w:val="en-GB"/>
        </w:rPr>
      </w:pPr>
      <w:r w:rsidRPr="00314366">
        <w:rPr>
          <w:szCs w:val="21"/>
          <w:lang w:val="en-GB"/>
        </w:rPr>
        <w:t xml:space="preserve">Relational permanence is the experience of having positive, loving and nurturing relationships sustained. </w:t>
      </w:r>
      <w:r w:rsidR="002D036E">
        <w:rPr>
          <w:szCs w:val="21"/>
          <w:lang w:val="en-GB"/>
        </w:rPr>
        <w:t>Significant persons</w:t>
      </w:r>
      <w:r w:rsidRPr="00314366">
        <w:rPr>
          <w:szCs w:val="21"/>
          <w:lang w:val="en-GB"/>
        </w:rPr>
        <w:t xml:space="preserve"> are pivotal to a child’s relational permanence. It is important to:</w:t>
      </w:r>
    </w:p>
    <w:p w14:paraId="50A86894" w14:textId="77777777" w:rsidR="00314366" w:rsidRPr="00314366" w:rsidRDefault="00314366" w:rsidP="00314366">
      <w:pPr>
        <w:pStyle w:val="Bullet1"/>
        <w:rPr>
          <w:lang w:val="en-GB"/>
        </w:rPr>
      </w:pPr>
      <w:r w:rsidRPr="00314366">
        <w:rPr>
          <w:lang w:val="en-GB"/>
        </w:rPr>
        <w:t xml:space="preserve">work from a position of searching for relationships rather than simply ‘placement options’ when exploring the child’s network. Explore, search and capture </w:t>
      </w:r>
      <w:r w:rsidRPr="00314366">
        <w:rPr>
          <w:i/>
          <w:iCs/>
          <w:lang w:val="en-GB"/>
        </w:rPr>
        <w:t>all</w:t>
      </w:r>
      <w:r w:rsidRPr="00314366">
        <w:rPr>
          <w:lang w:val="en-GB"/>
        </w:rPr>
        <w:t xml:space="preserve"> past, present and possible future relationships. </w:t>
      </w:r>
    </w:p>
    <w:p w14:paraId="67C0D047" w14:textId="77777777" w:rsidR="00314366" w:rsidRPr="00314366" w:rsidRDefault="00314366" w:rsidP="00314366">
      <w:pPr>
        <w:pStyle w:val="Bullet1"/>
        <w:rPr>
          <w:lang w:val="en-GB"/>
        </w:rPr>
      </w:pPr>
      <w:r w:rsidRPr="00314366">
        <w:rPr>
          <w:lang w:val="en-GB"/>
        </w:rPr>
        <w:lastRenderedPageBreak/>
        <w:t>remember that a person may not be able to care for the child but may be willing to sustain connection with them and play a role in their life.</w:t>
      </w:r>
    </w:p>
    <w:p w14:paraId="6B031DD0" w14:textId="72EA99CF" w:rsidR="00314366" w:rsidRPr="00314366" w:rsidRDefault="00314366" w:rsidP="00314366">
      <w:pPr>
        <w:pStyle w:val="Bullet1"/>
        <w:rPr>
          <w:lang w:val="en-GB"/>
        </w:rPr>
      </w:pPr>
      <w:r w:rsidRPr="00314366">
        <w:rPr>
          <w:lang w:val="en-GB"/>
        </w:rPr>
        <w:t xml:space="preserve">sustain relationships between the child and previous carers. Support relational repair if the child’s placement ended. Previous carers will commonly be </w:t>
      </w:r>
      <w:r w:rsidR="00DF5ABC">
        <w:rPr>
          <w:lang w:val="en-GB"/>
        </w:rPr>
        <w:t>significant</w:t>
      </w:r>
      <w:r w:rsidR="007F1119">
        <w:rPr>
          <w:lang w:val="en-GB"/>
        </w:rPr>
        <w:t xml:space="preserve"> pe</w:t>
      </w:r>
      <w:r w:rsidR="00DF5ABC">
        <w:rPr>
          <w:lang w:val="en-GB"/>
        </w:rPr>
        <w:t>rsons</w:t>
      </w:r>
      <w:r w:rsidRPr="00314366">
        <w:rPr>
          <w:lang w:val="en-GB"/>
        </w:rPr>
        <w:t xml:space="preserve"> to the child even if they no longer live with them. </w:t>
      </w:r>
    </w:p>
    <w:p w14:paraId="719BB596" w14:textId="77777777" w:rsidR="00314366" w:rsidRPr="00314366" w:rsidRDefault="00314366" w:rsidP="00314366">
      <w:pPr>
        <w:pStyle w:val="Bullet1"/>
        <w:rPr>
          <w:lang w:val="en-GB"/>
        </w:rPr>
      </w:pPr>
      <w:r w:rsidRPr="00314366">
        <w:rPr>
          <w:lang w:val="en-GB"/>
        </w:rPr>
        <w:t>broaden the lens about who is included in the child’s relational network and how contact and connection is supported to happen.</w:t>
      </w:r>
    </w:p>
    <w:p w14:paraId="7D923399" w14:textId="762F6481" w:rsidR="00314366" w:rsidRPr="00314366" w:rsidRDefault="00314366" w:rsidP="00314366">
      <w:pPr>
        <w:pStyle w:val="Heading1"/>
        <w:rPr>
          <w:lang w:val="en-GB"/>
        </w:rPr>
      </w:pPr>
      <w:r w:rsidRPr="00314366">
        <w:rPr>
          <w:lang w:val="en-GB"/>
        </w:rPr>
        <w:t xml:space="preserve">Search, find and arrange connection to </w:t>
      </w:r>
      <w:r w:rsidR="00341B93">
        <w:rPr>
          <w:lang w:val="en-GB"/>
        </w:rPr>
        <w:t>significant persons</w:t>
      </w:r>
    </w:p>
    <w:p w14:paraId="6CD27B60" w14:textId="191AE90B" w:rsidR="00314366" w:rsidRPr="00314366" w:rsidRDefault="00647DD2" w:rsidP="2709C3B8">
      <w:pPr>
        <w:pStyle w:val="Body"/>
        <w:rPr>
          <w:lang w:val="en-GB"/>
        </w:rPr>
      </w:pPr>
      <w:r>
        <w:t xml:space="preserve">The assessment will be informed by SAFER children framework, information gathering, validation and analysis, and will be based on a judgement of what is in the best interests of the child. </w:t>
      </w:r>
      <w:r w:rsidR="00314366" w:rsidRPr="2709C3B8">
        <w:rPr>
          <w:lang w:val="en-GB"/>
        </w:rPr>
        <w:t xml:space="preserve">Use creativity and persistence to actively map, track down, enable and nurture the child’s relationships with </w:t>
      </w:r>
      <w:r w:rsidR="00D1068F">
        <w:rPr>
          <w:lang w:val="en-GB"/>
        </w:rPr>
        <w:t>significant persons</w:t>
      </w:r>
      <w:r w:rsidR="00314366" w:rsidRPr="2709C3B8">
        <w:rPr>
          <w:lang w:val="en-GB"/>
        </w:rPr>
        <w:t>. Prioritise knowing the child’s relational history. Map the family’s and child’s past and present ecosystems to search out relationships. This includes where they have lived (and who they remember from those locations), from school, groups they’ve been involved in, friendships they have had, and their community connections over time and across locations and identity. Also explore and seek out cultural or familial contacts that they have not yet had the opportunity to connect with.</w:t>
      </w:r>
    </w:p>
    <w:p w14:paraId="61D40962" w14:textId="2D1B7C95" w:rsidR="00314366" w:rsidRPr="00314366" w:rsidRDefault="00314366" w:rsidP="00314366">
      <w:pPr>
        <w:pStyle w:val="Body"/>
        <w:rPr>
          <w:szCs w:val="21"/>
        </w:rPr>
      </w:pPr>
      <w:r w:rsidRPr="00314366">
        <w:rPr>
          <w:szCs w:val="21"/>
          <w:lang w:val="en-GB"/>
        </w:rPr>
        <w:t xml:space="preserve">Trace possible </w:t>
      </w:r>
      <w:r w:rsidR="00956307">
        <w:rPr>
          <w:szCs w:val="21"/>
          <w:lang w:val="en-GB"/>
        </w:rPr>
        <w:t>significant persons</w:t>
      </w:r>
      <w:r w:rsidRPr="00314366">
        <w:rPr>
          <w:szCs w:val="21"/>
          <w:lang w:val="en-GB"/>
        </w:rPr>
        <w:t xml:space="preserve"> from case files which often have rich, (but often untapped) leads from the child, or family’s distant past. Seek the input of the child, family, extended kin and kith network, cultural community and professionals you are already in touch with. Engage in </w:t>
      </w:r>
      <w:r w:rsidRPr="00314366">
        <w:rPr>
          <w:szCs w:val="21"/>
        </w:rPr>
        <w:t xml:space="preserve">ongoing conversations, storytelling, use books or visual cards, visual mapping, play and toys, art or other creative approaches. Remember to pace your exploration and adapt approaches in response to the child’s needs and preferences; and prioritise cultural safety. </w:t>
      </w:r>
    </w:p>
    <w:p w14:paraId="1E78EA04" w14:textId="77777777" w:rsidR="00314366" w:rsidRPr="00314366" w:rsidRDefault="00314366" w:rsidP="00314366">
      <w:pPr>
        <w:pStyle w:val="Body"/>
        <w:rPr>
          <w:szCs w:val="21"/>
          <w:lang w:val="en-GB"/>
        </w:rPr>
      </w:pPr>
      <w:r w:rsidRPr="00314366">
        <w:rPr>
          <w:szCs w:val="21"/>
        </w:rPr>
        <w:t>Some practice ideas which may assist include:</w:t>
      </w:r>
    </w:p>
    <w:p w14:paraId="1FB66722" w14:textId="77777777" w:rsidR="00314366" w:rsidRPr="00314366" w:rsidRDefault="00314366" w:rsidP="00314366">
      <w:pPr>
        <w:pStyle w:val="Bullet1"/>
        <w:rPr>
          <w:lang w:val="en-GB"/>
        </w:rPr>
      </w:pPr>
      <w:r w:rsidRPr="00314366">
        <w:rPr>
          <w:lang w:val="en-GB"/>
        </w:rPr>
        <w:t xml:space="preserve">Use of the </w:t>
      </w:r>
      <w:hyperlink r:id="rId16" w:history="1">
        <w:r w:rsidRPr="00314366">
          <w:rPr>
            <w:rStyle w:val="Hyperlink"/>
            <w:szCs w:val="21"/>
            <w:lang w:val="en-GB"/>
          </w:rPr>
          <w:t>My Views booklets</w:t>
        </w:r>
      </w:hyperlink>
      <w:r w:rsidRPr="00314366">
        <w:rPr>
          <w:lang w:val="en-GB"/>
        </w:rPr>
        <w:t xml:space="preserve"> to explore with the child.</w:t>
      </w:r>
    </w:p>
    <w:p w14:paraId="339F485D" w14:textId="77777777" w:rsidR="00314366" w:rsidRPr="00314366" w:rsidRDefault="00314366" w:rsidP="00314366">
      <w:pPr>
        <w:pStyle w:val="Bullet1"/>
        <w:rPr>
          <w:lang w:val="en-GB"/>
        </w:rPr>
      </w:pPr>
      <w:r w:rsidRPr="00314366">
        <w:rPr>
          <w:lang w:val="en-GB"/>
        </w:rPr>
        <w:t xml:space="preserve">Drawing on the </w:t>
      </w:r>
      <w:hyperlink r:id="rId17" w:history="1">
        <w:r w:rsidRPr="00314366">
          <w:rPr>
            <w:rStyle w:val="Hyperlink"/>
            <w:szCs w:val="21"/>
            <w:lang w:val="en-GB"/>
          </w:rPr>
          <w:t>kinship engagement teams’</w:t>
        </w:r>
      </w:hyperlink>
      <w:r w:rsidRPr="00314366">
        <w:rPr>
          <w:lang w:val="en-GB"/>
        </w:rPr>
        <w:t xml:space="preserve"> report which may reveal rich information about important adults. </w:t>
      </w:r>
    </w:p>
    <w:p w14:paraId="00A7D66E" w14:textId="77777777" w:rsidR="00314366" w:rsidRPr="00314366" w:rsidRDefault="00314366" w:rsidP="00314366">
      <w:pPr>
        <w:pStyle w:val="Bullet1"/>
        <w:rPr>
          <w:lang w:val="en-GB"/>
        </w:rPr>
      </w:pPr>
      <w:r w:rsidRPr="00314366">
        <w:rPr>
          <w:lang w:val="en-GB"/>
        </w:rPr>
        <w:t xml:space="preserve">Use of cultural consultation and the </w:t>
      </w:r>
      <w:hyperlink r:id="rId18" w:history="1">
        <w:r w:rsidRPr="00314366">
          <w:rPr>
            <w:rStyle w:val="Hyperlink"/>
            <w:szCs w:val="21"/>
            <w:lang w:val="en-GB"/>
          </w:rPr>
          <w:t>cultural planning</w:t>
        </w:r>
      </w:hyperlink>
      <w:r w:rsidRPr="00314366">
        <w:rPr>
          <w:lang w:val="en-GB"/>
        </w:rPr>
        <w:t xml:space="preserve"> process meaningfully.</w:t>
      </w:r>
    </w:p>
    <w:p w14:paraId="41D9E7BE" w14:textId="7F4070A1" w:rsidR="00314366" w:rsidRPr="00314366" w:rsidRDefault="00314366" w:rsidP="00314366">
      <w:pPr>
        <w:pStyle w:val="Body"/>
        <w:rPr>
          <w:szCs w:val="21"/>
          <w:lang w:val="en-GB"/>
        </w:rPr>
      </w:pPr>
      <w:r w:rsidRPr="00314366">
        <w:rPr>
          <w:szCs w:val="21"/>
          <w:lang w:val="en-GB"/>
        </w:rPr>
        <w:t xml:space="preserve">Inviting </w:t>
      </w:r>
      <w:r w:rsidR="000F5469">
        <w:rPr>
          <w:szCs w:val="21"/>
          <w:lang w:val="en-GB"/>
        </w:rPr>
        <w:t>significant persons</w:t>
      </w:r>
      <w:r w:rsidRPr="00314366">
        <w:rPr>
          <w:szCs w:val="21"/>
          <w:lang w:val="en-GB"/>
        </w:rPr>
        <w:t xml:space="preserve"> together to collaborate, seek commitment about their role and how their involvement will support the child to experience lifelong belonging.</w:t>
      </w:r>
    </w:p>
    <w:p w14:paraId="5F9C3D30" w14:textId="77777777" w:rsidR="00314366" w:rsidRPr="00314366" w:rsidRDefault="00314366" w:rsidP="00314366">
      <w:pPr>
        <w:pStyle w:val="Body"/>
        <w:rPr>
          <w:szCs w:val="21"/>
          <w:lang w:val="en-GB"/>
        </w:rPr>
      </w:pPr>
      <w:r w:rsidRPr="00314366">
        <w:rPr>
          <w:szCs w:val="21"/>
        </w:rPr>
        <w:t>These practice ideas have been drawn from the Child Protection Manual. There are many valuable external resources available that we encourage you to explore.</w:t>
      </w:r>
    </w:p>
    <w:p w14:paraId="07E44597" w14:textId="77777777" w:rsidR="00314366" w:rsidRPr="00314366" w:rsidRDefault="00314366" w:rsidP="00314366">
      <w:pPr>
        <w:pStyle w:val="Body"/>
        <w:rPr>
          <w:szCs w:val="21"/>
          <w:lang w:val="en-GB"/>
        </w:rPr>
      </w:pPr>
    </w:p>
    <w:p w14:paraId="5B4E5B97" w14:textId="77777777" w:rsidR="00314366" w:rsidRDefault="00314366" w:rsidP="00314366">
      <w:pPr>
        <w:pStyle w:val="Body"/>
        <w:rPr>
          <w:sz w:val="24"/>
          <w:szCs w:val="24"/>
        </w:rPr>
      </w:pPr>
    </w:p>
    <w:p w14:paraId="681C905C" w14:textId="77777777" w:rsidR="00314366" w:rsidRPr="00C65412" w:rsidRDefault="00314366" w:rsidP="00314366">
      <w:pPr>
        <w:rPr>
          <w:sz w:val="24"/>
          <w:szCs w:val="24"/>
          <w:lang w:val="en-GB"/>
        </w:rPr>
      </w:pPr>
    </w:p>
    <w:p w14:paraId="6EFEE670" w14:textId="2C31A8DC" w:rsidR="008A5D60" w:rsidRDefault="008A5D60" w:rsidP="005A35E1">
      <w:pPr>
        <w:pStyle w:val="Tablecaption"/>
        <w:spacing w:before="120"/>
        <w:rPr>
          <w:color w:val="87189D"/>
          <w:sz w:val="24"/>
          <w:szCs w:val="24"/>
        </w:rPr>
      </w:pPr>
    </w:p>
    <w:p w14:paraId="0B388308" w14:textId="02683C0D" w:rsidR="66D5C0A3" w:rsidRDefault="66D5C0A3"/>
    <w:p w14:paraId="5E41D1EA" w14:textId="77777777" w:rsidR="00314366" w:rsidRDefault="00314366"/>
    <w:p w14:paraId="030D7493" w14:textId="602B9BAB" w:rsidR="66D5C0A3" w:rsidRDefault="66D5C0A3"/>
    <w:p w14:paraId="4A7FCA75" w14:textId="77777777" w:rsidR="00314366" w:rsidRDefault="00314366"/>
    <w:p w14:paraId="2EDACCAB" w14:textId="5302C876" w:rsidR="003B1BDC" w:rsidRPr="003B1BDC" w:rsidRDefault="003B1BDC" w:rsidP="005A35E1">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17762BE5" w:rsidR="0055119B" w:rsidRPr="0055119B" w:rsidRDefault="0055119B" w:rsidP="0055119B">
            <w:pPr>
              <w:pStyle w:val="Accessibilitypara"/>
            </w:pPr>
            <w:bookmarkStart w:id="0" w:name="_Hlk37240926"/>
            <w:r w:rsidRPr="0055119B">
              <w:lastRenderedPageBreak/>
              <w:t>To receive this document in another format</w:t>
            </w:r>
            <w:r>
              <w:t>,</w:t>
            </w:r>
            <w:r w:rsidRPr="0055119B">
              <w:t xml:space="preserve"> </w:t>
            </w:r>
            <w:hyperlink r:id="rId19" w:history="1">
              <w:r w:rsidRPr="00FC0A7D">
                <w:rPr>
                  <w:rStyle w:val="Hyperlink"/>
                  <w:color w:val="auto"/>
                </w:rPr>
                <w:t>email</w:t>
              </w:r>
            </w:hyperlink>
            <w:r w:rsidRPr="00FC0A7D">
              <w:t xml:space="preserve"> </w:t>
            </w:r>
            <w:r w:rsidR="00314366" w:rsidRPr="00FC0A7D">
              <w:t xml:space="preserve">the OPP </w:t>
            </w:r>
            <w:r w:rsidR="00FC0A7D" w:rsidRPr="00FC0A7D">
              <w:t xml:space="preserve">Directorate </w:t>
            </w:r>
            <w:r w:rsidRPr="0055119B">
              <w:t>&lt;</w:t>
            </w:r>
            <w:r w:rsidR="00FC0A7D" w:rsidRPr="00FC0A7D">
              <w:t>oppdirectorate@dffh.vic.gov.au</w:t>
            </w:r>
            <w:r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0639902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741ACC" w:rsidRPr="00741ACC">
              <w:t>December</w:t>
            </w:r>
            <w:r w:rsidR="0060461A" w:rsidRPr="00741ACC">
              <w:t xml:space="preserve"> 2025</w:t>
            </w:r>
            <w:r w:rsidRPr="0055119B">
              <w:t>.</w:t>
            </w:r>
          </w:p>
          <w:p w14:paraId="51FCE217" w14:textId="7AB4B38D" w:rsidR="0055119B" w:rsidRPr="0055119B" w:rsidRDefault="0055119B" w:rsidP="00E33237">
            <w:pPr>
              <w:pStyle w:val="Imprint"/>
            </w:pPr>
            <w:bookmarkStart w:id="1" w:name="_Hlk62746129"/>
            <w:r w:rsidRPr="0055119B">
              <w:t>ISBN/ISSN (online/PDF/Word) or (print)</w:t>
            </w:r>
          </w:p>
          <w:p w14:paraId="1FE3A6EF" w14:textId="77777777" w:rsidR="0055119B" w:rsidRDefault="0055119B" w:rsidP="00E33237">
            <w:pPr>
              <w:pStyle w:val="Imprint"/>
            </w:pPr>
            <w:r w:rsidRPr="0055119B">
              <w:t xml:space="preserve">Available at </w:t>
            </w:r>
            <w:hyperlink r:id="rId20" w:history="1">
              <w:r w:rsidR="00210E7F" w:rsidRPr="00741ACC">
                <w:rPr>
                  <w:rStyle w:val="Hyperlink"/>
                  <w:color w:val="auto"/>
                </w:rPr>
                <w:t>Home | Child Protection Manual | CP Manual Victoria</w:t>
              </w:r>
            </w:hyperlink>
            <w:bookmarkEnd w:id="1"/>
          </w:p>
          <w:p w14:paraId="0C92739F" w14:textId="7493082B" w:rsidR="009F2824" w:rsidRDefault="009F2824" w:rsidP="00E33237">
            <w:pPr>
              <w:pStyle w:val="Imprint"/>
            </w:pPr>
            <w:r>
              <w:t>&lt;</w:t>
            </w:r>
            <w:r w:rsidR="006101A7">
              <w:t>https://www.cpmanual.vic.gov.au</w:t>
            </w:r>
            <w:r w:rsidR="003F5699">
              <w:t>&gt;</w:t>
            </w:r>
          </w:p>
        </w:tc>
      </w:tr>
      <w:bookmarkEnd w:id="0"/>
    </w:tbl>
    <w:p w14:paraId="312DEA78" w14:textId="77777777" w:rsidR="00162CA9" w:rsidRDefault="00162CA9" w:rsidP="00162CA9">
      <w:pPr>
        <w:pStyle w:val="Body"/>
      </w:pPr>
    </w:p>
    <w:sectPr w:rsidR="00162CA9" w:rsidSect="00593A99">
      <w:headerReference w:type="default" r:id="rId21"/>
      <w:footerReference w:type="default" r:id="rId22"/>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ED07" w14:textId="77777777" w:rsidR="008959B5" w:rsidRDefault="008959B5">
      <w:r>
        <w:separator/>
      </w:r>
    </w:p>
    <w:p w14:paraId="274C023B" w14:textId="77777777" w:rsidR="008959B5" w:rsidRDefault="008959B5"/>
  </w:endnote>
  <w:endnote w:type="continuationSeparator" w:id="0">
    <w:p w14:paraId="1E9D22AB" w14:textId="77777777" w:rsidR="008959B5" w:rsidRDefault="008959B5">
      <w:r>
        <w:continuationSeparator/>
      </w:r>
    </w:p>
    <w:p w14:paraId="0D47B039" w14:textId="77777777" w:rsidR="008959B5" w:rsidRDefault="0089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FF75748" w:rsidR="00593A99" w:rsidRPr="00F65AA9" w:rsidRDefault="00696613" w:rsidP="00EF2C72">
    <w:pPr>
      <w:pStyle w:val="Footer"/>
    </w:pPr>
    <w:r>
      <w:rPr>
        <w:noProof/>
      </w:rPr>
      <mc:AlternateContent>
        <mc:Choice Requires="wps">
          <w:drawing>
            <wp:anchor distT="0" distB="0" distL="114300" distR="114300" simplePos="0" relativeHeight="251658243" behindDoc="0" locked="0" layoutInCell="0" allowOverlap="1" wp14:anchorId="2EDC5B05" wp14:editId="56842D8F">
              <wp:simplePos x="0" y="0"/>
              <wp:positionH relativeFrom="page">
                <wp:posOffset>0</wp:posOffset>
              </wp:positionH>
              <wp:positionV relativeFrom="page">
                <wp:posOffset>10189210</wp:posOffset>
              </wp:positionV>
              <wp:extent cx="7560310" cy="311785"/>
              <wp:effectExtent l="0" t="0" r="0" b="12065"/>
              <wp:wrapNone/>
              <wp:docPr id="2" name="MSIPCMb31247d9bb1e55862385cb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DC5B05" id="_x0000_t202" coordsize="21600,21600" o:spt="202" path="m,l,21600r21600,l21600,xe">
              <v:stroke joinstyle="miter"/>
              <v:path gradientshapeok="t" o:connecttype="rect"/>
            </v:shapetype>
            <v:shape id="MSIPCMb31247d9bb1e55862385cb5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163F932" w14:textId="7367F8BB" w:rsidR="00696613" w:rsidRPr="00696613" w:rsidRDefault="00696613" w:rsidP="00696613">
                    <w:pPr>
                      <w:spacing w:after="0"/>
                      <w:jc w:val="center"/>
                      <w:rPr>
                        <w:rFonts w:ascii="Arial Black" w:hAnsi="Arial Black"/>
                        <w:color w:val="000000"/>
                        <w:sz w:val="20"/>
                      </w:rPr>
                    </w:pPr>
                    <w:r w:rsidRPr="0069661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2A80" w14:textId="77777777" w:rsidR="008959B5" w:rsidRDefault="008959B5" w:rsidP="00207717">
      <w:pPr>
        <w:spacing w:before="120"/>
      </w:pPr>
      <w:r>
        <w:separator/>
      </w:r>
    </w:p>
  </w:footnote>
  <w:footnote w:type="continuationSeparator" w:id="0">
    <w:p w14:paraId="198AE8D9" w14:textId="77777777" w:rsidR="008959B5" w:rsidRDefault="008959B5">
      <w:r>
        <w:continuationSeparator/>
      </w:r>
    </w:p>
    <w:p w14:paraId="011380E9" w14:textId="77777777" w:rsidR="008959B5" w:rsidRDefault="00895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872B084" w:rsidR="00E261B3" w:rsidRPr="0051568D" w:rsidRDefault="00F47F4E" w:rsidP="0017674D">
    <w:pPr>
      <w:pStyle w:val="Header"/>
    </w:pPr>
    <w:r>
      <w:t>Significant persons practice guidance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775EF6"/>
    <w:multiLevelType w:val="hybridMultilevel"/>
    <w:tmpl w:val="87680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66590E"/>
    <w:multiLevelType w:val="hybridMultilevel"/>
    <w:tmpl w:val="550AB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CDC23C9"/>
    <w:multiLevelType w:val="hybridMultilevel"/>
    <w:tmpl w:val="410A7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6225709">
    <w:abstractNumId w:val="10"/>
  </w:num>
  <w:num w:numId="2" w16cid:durableId="1623031174">
    <w:abstractNumId w:val="19"/>
  </w:num>
  <w:num w:numId="3" w16cid:durableId="1698382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481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244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331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012969">
    <w:abstractNumId w:val="23"/>
  </w:num>
  <w:num w:numId="8" w16cid:durableId="1711412794">
    <w:abstractNumId w:val="18"/>
  </w:num>
  <w:num w:numId="9" w16cid:durableId="191039329">
    <w:abstractNumId w:val="22"/>
  </w:num>
  <w:num w:numId="10" w16cid:durableId="21211479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60880">
    <w:abstractNumId w:val="25"/>
  </w:num>
  <w:num w:numId="12" w16cid:durableId="7838887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12794">
    <w:abstractNumId w:val="20"/>
  </w:num>
  <w:num w:numId="14" w16cid:durableId="1939407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09458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93926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6267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731247">
    <w:abstractNumId w:val="27"/>
  </w:num>
  <w:num w:numId="19" w16cid:durableId="871529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5529142">
    <w:abstractNumId w:val="14"/>
  </w:num>
  <w:num w:numId="21" w16cid:durableId="426659462">
    <w:abstractNumId w:val="12"/>
  </w:num>
  <w:num w:numId="22" w16cid:durableId="882250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6889816">
    <w:abstractNumId w:val="15"/>
  </w:num>
  <w:num w:numId="24" w16cid:durableId="436678640">
    <w:abstractNumId w:val="28"/>
  </w:num>
  <w:num w:numId="25" w16cid:durableId="1855922457">
    <w:abstractNumId w:val="26"/>
  </w:num>
  <w:num w:numId="26" w16cid:durableId="1983341743">
    <w:abstractNumId w:val="21"/>
  </w:num>
  <w:num w:numId="27" w16cid:durableId="1015038024">
    <w:abstractNumId w:val="11"/>
  </w:num>
  <w:num w:numId="28" w16cid:durableId="687491042">
    <w:abstractNumId w:val="29"/>
  </w:num>
  <w:num w:numId="29" w16cid:durableId="2136177229">
    <w:abstractNumId w:val="9"/>
  </w:num>
  <w:num w:numId="30" w16cid:durableId="137498678">
    <w:abstractNumId w:val="7"/>
  </w:num>
  <w:num w:numId="31" w16cid:durableId="1669946135">
    <w:abstractNumId w:val="6"/>
  </w:num>
  <w:num w:numId="32" w16cid:durableId="363403603">
    <w:abstractNumId w:val="5"/>
  </w:num>
  <w:num w:numId="33" w16cid:durableId="1395548198">
    <w:abstractNumId w:val="4"/>
  </w:num>
  <w:num w:numId="34" w16cid:durableId="455494112">
    <w:abstractNumId w:val="8"/>
  </w:num>
  <w:num w:numId="35" w16cid:durableId="192041280">
    <w:abstractNumId w:val="3"/>
  </w:num>
  <w:num w:numId="36" w16cid:durableId="1207640438">
    <w:abstractNumId w:val="2"/>
  </w:num>
  <w:num w:numId="37" w16cid:durableId="2047754548">
    <w:abstractNumId w:val="1"/>
  </w:num>
  <w:num w:numId="38" w16cid:durableId="642080418">
    <w:abstractNumId w:val="0"/>
  </w:num>
  <w:num w:numId="39" w16cid:durableId="1824934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7370589">
    <w:abstractNumId w:val="23"/>
  </w:num>
  <w:num w:numId="41" w16cid:durableId="972368971">
    <w:abstractNumId w:val="23"/>
  </w:num>
  <w:num w:numId="42" w16cid:durableId="148057478">
    <w:abstractNumId w:val="23"/>
  </w:num>
  <w:num w:numId="43" w16cid:durableId="9630790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8524820">
    <w:abstractNumId w:val="17"/>
  </w:num>
  <w:num w:numId="45" w16cid:durableId="2099405025">
    <w:abstractNumId w:val="24"/>
  </w:num>
  <w:num w:numId="46" w16cid:durableId="8607016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448B"/>
    <w:rsid w:val="000154FD"/>
    <w:rsid w:val="00022271"/>
    <w:rsid w:val="00022AA9"/>
    <w:rsid w:val="000235E8"/>
    <w:rsid w:val="00024D89"/>
    <w:rsid w:val="00025033"/>
    <w:rsid w:val="000250B6"/>
    <w:rsid w:val="00033D81"/>
    <w:rsid w:val="00037366"/>
    <w:rsid w:val="00041437"/>
    <w:rsid w:val="00041BF0"/>
    <w:rsid w:val="00042C8A"/>
    <w:rsid w:val="0004536B"/>
    <w:rsid w:val="00046B68"/>
    <w:rsid w:val="000527DD"/>
    <w:rsid w:val="000578B2"/>
    <w:rsid w:val="00060959"/>
    <w:rsid w:val="00060C8F"/>
    <w:rsid w:val="0006298A"/>
    <w:rsid w:val="00062EF8"/>
    <w:rsid w:val="00062F09"/>
    <w:rsid w:val="000643BD"/>
    <w:rsid w:val="00064AE3"/>
    <w:rsid w:val="000663CD"/>
    <w:rsid w:val="00071D47"/>
    <w:rsid w:val="000733FE"/>
    <w:rsid w:val="00074219"/>
    <w:rsid w:val="00074ED5"/>
    <w:rsid w:val="00082F5C"/>
    <w:rsid w:val="0008508E"/>
    <w:rsid w:val="00086557"/>
    <w:rsid w:val="00087951"/>
    <w:rsid w:val="0009050A"/>
    <w:rsid w:val="0009113B"/>
    <w:rsid w:val="00093402"/>
    <w:rsid w:val="00094A80"/>
    <w:rsid w:val="00094DA3"/>
    <w:rsid w:val="00096CD1"/>
    <w:rsid w:val="000A012C"/>
    <w:rsid w:val="000A0EB9"/>
    <w:rsid w:val="000A186C"/>
    <w:rsid w:val="000A1EA4"/>
    <w:rsid w:val="000A2476"/>
    <w:rsid w:val="000A5D51"/>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0F5469"/>
    <w:rsid w:val="00101001"/>
    <w:rsid w:val="00103276"/>
    <w:rsid w:val="0010392D"/>
    <w:rsid w:val="0010447F"/>
    <w:rsid w:val="00104FE3"/>
    <w:rsid w:val="00105291"/>
    <w:rsid w:val="0010714F"/>
    <w:rsid w:val="001120C5"/>
    <w:rsid w:val="00120BD3"/>
    <w:rsid w:val="00122FEA"/>
    <w:rsid w:val="001232BD"/>
    <w:rsid w:val="00124ED5"/>
    <w:rsid w:val="001276FA"/>
    <w:rsid w:val="001315AE"/>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8AE"/>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D6FF5"/>
    <w:rsid w:val="001E44DF"/>
    <w:rsid w:val="001E68A5"/>
    <w:rsid w:val="001E6BB0"/>
    <w:rsid w:val="001E7282"/>
    <w:rsid w:val="001F3826"/>
    <w:rsid w:val="001F6E46"/>
    <w:rsid w:val="001F7C91"/>
    <w:rsid w:val="002033B7"/>
    <w:rsid w:val="00206463"/>
    <w:rsid w:val="00206F2F"/>
    <w:rsid w:val="00207717"/>
    <w:rsid w:val="0021053D"/>
    <w:rsid w:val="00210A92"/>
    <w:rsid w:val="00210E7F"/>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177F"/>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1785"/>
    <w:rsid w:val="002A3C4C"/>
    <w:rsid w:val="002A483C"/>
    <w:rsid w:val="002B0C7C"/>
    <w:rsid w:val="002B1729"/>
    <w:rsid w:val="002B36C7"/>
    <w:rsid w:val="002B4DD4"/>
    <w:rsid w:val="002B5277"/>
    <w:rsid w:val="002B5375"/>
    <w:rsid w:val="002B77C1"/>
    <w:rsid w:val="002C0ED7"/>
    <w:rsid w:val="002C2728"/>
    <w:rsid w:val="002D036E"/>
    <w:rsid w:val="002D1E0D"/>
    <w:rsid w:val="002D4D33"/>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4366"/>
    <w:rsid w:val="00316F27"/>
    <w:rsid w:val="003214F1"/>
    <w:rsid w:val="00322E4B"/>
    <w:rsid w:val="003252EE"/>
    <w:rsid w:val="00327870"/>
    <w:rsid w:val="0033259D"/>
    <w:rsid w:val="003333D2"/>
    <w:rsid w:val="00337339"/>
    <w:rsid w:val="003406C6"/>
    <w:rsid w:val="003418CC"/>
    <w:rsid w:val="00341B93"/>
    <w:rsid w:val="003459BD"/>
    <w:rsid w:val="00350BA4"/>
    <w:rsid w:val="00350D38"/>
    <w:rsid w:val="00351405"/>
    <w:rsid w:val="00351A05"/>
    <w:rsid w:val="00351B36"/>
    <w:rsid w:val="00357B4E"/>
    <w:rsid w:val="003716FD"/>
    <w:rsid w:val="0037204B"/>
    <w:rsid w:val="003744CF"/>
    <w:rsid w:val="00374717"/>
    <w:rsid w:val="0037676C"/>
    <w:rsid w:val="0037677D"/>
    <w:rsid w:val="00377A1A"/>
    <w:rsid w:val="00381043"/>
    <w:rsid w:val="003829E5"/>
    <w:rsid w:val="00386109"/>
    <w:rsid w:val="00386944"/>
    <w:rsid w:val="003956CC"/>
    <w:rsid w:val="00395C9A"/>
    <w:rsid w:val="003A04E1"/>
    <w:rsid w:val="003A074E"/>
    <w:rsid w:val="003A0853"/>
    <w:rsid w:val="003A357E"/>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2E2E"/>
    <w:rsid w:val="003E375C"/>
    <w:rsid w:val="003E4086"/>
    <w:rsid w:val="003E639E"/>
    <w:rsid w:val="003E71E5"/>
    <w:rsid w:val="003F0445"/>
    <w:rsid w:val="003F0CF0"/>
    <w:rsid w:val="003F14B1"/>
    <w:rsid w:val="003F2B20"/>
    <w:rsid w:val="003F3289"/>
    <w:rsid w:val="003F3C62"/>
    <w:rsid w:val="003F5699"/>
    <w:rsid w:val="003F5CB9"/>
    <w:rsid w:val="004013C7"/>
    <w:rsid w:val="00401FCF"/>
    <w:rsid w:val="00404CEA"/>
    <w:rsid w:val="00406157"/>
    <w:rsid w:val="00406285"/>
    <w:rsid w:val="00410835"/>
    <w:rsid w:val="004148F9"/>
    <w:rsid w:val="0042084E"/>
    <w:rsid w:val="00421EEF"/>
    <w:rsid w:val="00423262"/>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110"/>
    <w:rsid w:val="00490746"/>
    <w:rsid w:val="00490852"/>
    <w:rsid w:val="00491C9C"/>
    <w:rsid w:val="004927E5"/>
    <w:rsid w:val="00492F30"/>
    <w:rsid w:val="004946F4"/>
    <w:rsid w:val="0049487E"/>
    <w:rsid w:val="004A127D"/>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377C"/>
    <w:rsid w:val="004E1106"/>
    <w:rsid w:val="004E138F"/>
    <w:rsid w:val="004E2626"/>
    <w:rsid w:val="004E4649"/>
    <w:rsid w:val="004E4C8F"/>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4D6C"/>
    <w:rsid w:val="0058757E"/>
    <w:rsid w:val="005879F5"/>
    <w:rsid w:val="00593A99"/>
    <w:rsid w:val="00596A4B"/>
    <w:rsid w:val="00597507"/>
    <w:rsid w:val="005A2AF8"/>
    <w:rsid w:val="005A35E1"/>
    <w:rsid w:val="005A3E45"/>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461A"/>
    <w:rsid w:val="00605908"/>
    <w:rsid w:val="00605CEB"/>
    <w:rsid w:val="00607850"/>
    <w:rsid w:val="006101A7"/>
    <w:rsid w:val="00610D7C"/>
    <w:rsid w:val="00613414"/>
    <w:rsid w:val="00616EA2"/>
    <w:rsid w:val="00620154"/>
    <w:rsid w:val="0062408D"/>
    <w:rsid w:val="006240CC"/>
    <w:rsid w:val="00624940"/>
    <w:rsid w:val="006254F8"/>
    <w:rsid w:val="00627DA7"/>
    <w:rsid w:val="00630DA4"/>
    <w:rsid w:val="00631CD4"/>
    <w:rsid w:val="00632597"/>
    <w:rsid w:val="00634D13"/>
    <w:rsid w:val="006358B4"/>
    <w:rsid w:val="006375AB"/>
    <w:rsid w:val="00641724"/>
    <w:rsid w:val="006419AA"/>
    <w:rsid w:val="00644B1F"/>
    <w:rsid w:val="00644B7E"/>
    <w:rsid w:val="006454E6"/>
    <w:rsid w:val="00646235"/>
    <w:rsid w:val="00646A68"/>
    <w:rsid w:val="00647DD2"/>
    <w:rsid w:val="006505BD"/>
    <w:rsid w:val="006508EA"/>
    <w:rsid w:val="0065092E"/>
    <w:rsid w:val="006557A7"/>
    <w:rsid w:val="00656290"/>
    <w:rsid w:val="006601C9"/>
    <w:rsid w:val="006608D8"/>
    <w:rsid w:val="006621D7"/>
    <w:rsid w:val="0066302A"/>
    <w:rsid w:val="00663D99"/>
    <w:rsid w:val="00667770"/>
    <w:rsid w:val="00670597"/>
    <w:rsid w:val="006706D0"/>
    <w:rsid w:val="00677574"/>
    <w:rsid w:val="00683878"/>
    <w:rsid w:val="00683F9C"/>
    <w:rsid w:val="0068454C"/>
    <w:rsid w:val="00685036"/>
    <w:rsid w:val="00691B62"/>
    <w:rsid w:val="006933B5"/>
    <w:rsid w:val="00693D14"/>
    <w:rsid w:val="00695A93"/>
    <w:rsid w:val="00696613"/>
    <w:rsid w:val="00696F27"/>
    <w:rsid w:val="006A18C2"/>
    <w:rsid w:val="006A3383"/>
    <w:rsid w:val="006A4E55"/>
    <w:rsid w:val="006B077C"/>
    <w:rsid w:val="006B16AF"/>
    <w:rsid w:val="006B6803"/>
    <w:rsid w:val="006C7466"/>
    <w:rsid w:val="006D0F16"/>
    <w:rsid w:val="006D2A3F"/>
    <w:rsid w:val="006D2FBC"/>
    <w:rsid w:val="006D612A"/>
    <w:rsid w:val="006E138B"/>
    <w:rsid w:val="006E1867"/>
    <w:rsid w:val="006F0330"/>
    <w:rsid w:val="006F1FDC"/>
    <w:rsid w:val="006F6B8C"/>
    <w:rsid w:val="007013EF"/>
    <w:rsid w:val="007055BD"/>
    <w:rsid w:val="0071303A"/>
    <w:rsid w:val="007173CA"/>
    <w:rsid w:val="007216AA"/>
    <w:rsid w:val="00721AB5"/>
    <w:rsid w:val="00721CFB"/>
    <w:rsid w:val="00721DEF"/>
    <w:rsid w:val="00724A43"/>
    <w:rsid w:val="007273AC"/>
    <w:rsid w:val="00731AD4"/>
    <w:rsid w:val="00731FAC"/>
    <w:rsid w:val="007346E4"/>
    <w:rsid w:val="00740F22"/>
    <w:rsid w:val="00741977"/>
    <w:rsid w:val="00741ACC"/>
    <w:rsid w:val="00741CF0"/>
    <w:rsid w:val="00741F1A"/>
    <w:rsid w:val="00743A2C"/>
    <w:rsid w:val="007447DA"/>
    <w:rsid w:val="007450F8"/>
    <w:rsid w:val="0074696E"/>
    <w:rsid w:val="00750135"/>
    <w:rsid w:val="00750EC2"/>
    <w:rsid w:val="00752B28"/>
    <w:rsid w:val="007541A9"/>
    <w:rsid w:val="00754E36"/>
    <w:rsid w:val="00763139"/>
    <w:rsid w:val="00764E2F"/>
    <w:rsid w:val="00766F80"/>
    <w:rsid w:val="00770F37"/>
    <w:rsid w:val="007711A0"/>
    <w:rsid w:val="00772D5E"/>
    <w:rsid w:val="0077463E"/>
    <w:rsid w:val="00776928"/>
    <w:rsid w:val="00776E0F"/>
    <w:rsid w:val="007774B1"/>
    <w:rsid w:val="00777BE1"/>
    <w:rsid w:val="007833D8"/>
    <w:rsid w:val="00785677"/>
    <w:rsid w:val="00786F16"/>
    <w:rsid w:val="00787FBD"/>
    <w:rsid w:val="00791BD7"/>
    <w:rsid w:val="007933F7"/>
    <w:rsid w:val="00796E20"/>
    <w:rsid w:val="00797C32"/>
    <w:rsid w:val="007A11E8"/>
    <w:rsid w:val="007A199A"/>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1119"/>
    <w:rsid w:val="007F2438"/>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9B5"/>
    <w:rsid w:val="008A0A5F"/>
    <w:rsid w:val="008A28A8"/>
    <w:rsid w:val="008A5B32"/>
    <w:rsid w:val="008A5D60"/>
    <w:rsid w:val="008B2029"/>
    <w:rsid w:val="008B2EE4"/>
    <w:rsid w:val="008B3821"/>
    <w:rsid w:val="008B4D3D"/>
    <w:rsid w:val="008B57C7"/>
    <w:rsid w:val="008C2C03"/>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6307"/>
    <w:rsid w:val="00960ABC"/>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6E4F"/>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C7E57"/>
    <w:rsid w:val="009D02E8"/>
    <w:rsid w:val="009D51D0"/>
    <w:rsid w:val="009D70A4"/>
    <w:rsid w:val="009D7A52"/>
    <w:rsid w:val="009D7B14"/>
    <w:rsid w:val="009E08D1"/>
    <w:rsid w:val="009E1B95"/>
    <w:rsid w:val="009E496F"/>
    <w:rsid w:val="009E4B0D"/>
    <w:rsid w:val="009E5250"/>
    <w:rsid w:val="009E7A69"/>
    <w:rsid w:val="009E7F92"/>
    <w:rsid w:val="009F02A3"/>
    <w:rsid w:val="009F2824"/>
    <w:rsid w:val="009F2F27"/>
    <w:rsid w:val="009F34AA"/>
    <w:rsid w:val="009F6BCB"/>
    <w:rsid w:val="009F7B78"/>
    <w:rsid w:val="00A0057A"/>
    <w:rsid w:val="00A0224E"/>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0330"/>
    <w:rsid w:val="00A44882"/>
    <w:rsid w:val="00A45125"/>
    <w:rsid w:val="00A513A9"/>
    <w:rsid w:val="00A54715"/>
    <w:rsid w:val="00A57C2F"/>
    <w:rsid w:val="00A6061C"/>
    <w:rsid w:val="00A62D44"/>
    <w:rsid w:val="00A67263"/>
    <w:rsid w:val="00A7161C"/>
    <w:rsid w:val="00A77AA3"/>
    <w:rsid w:val="00A8236D"/>
    <w:rsid w:val="00A848E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C8"/>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61C8"/>
    <w:rsid w:val="00C231A0"/>
    <w:rsid w:val="00C26588"/>
    <w:rsid w:val="00C27DE9"/>
    <w:rsid w:val="00C32989"/>
    <w:rsid w:val="00C33388"/>
    <w:rsid w:val="00C35484"/>
    <w:rsid w:val="00C4173A"/>
    <w:rsid w:val="00C50DED"/>
    <w:rsid w:val="00C52217"/>
    <w:rsid w:val="00C56A8F"/>
    <w:rsid w:val="00C602FF"/>
    <w:rsid w:val="00C61174"/>
    <w:rsid w:val="00C6148F"/>
    <w:rsid w:val="00C621B1"/>
    <w:rsid w:val="00C62F7A"/>
    <w:rsid w:val="00C63B9C"/>
    <w:rsid w:val="00C6682F"/>
    <w:rsid w:val="00C67BF4"/>
    <w:rsid w:val="00C7275E"/>
    <w:rsid w:val="00C74C5D"/>
    <w:rsid w:val="00C863C4"/>
    <w:rsid w:val="00C920EA"/>
    <w:rsid w:val="00C93C3E"/>
    <w:rsid w:val="00C94CA7"/>
    <w:rsid w:val="00CA12E3"/>
    <w:rsid w:val="00CA1476"/>
    <w:rsid w:val="00CA6611"/>
    <w:rsid w:val="00CA6AE6"/>
    <w:rsid w:val="00CA782F"/>
    <w:rsid w:val="00CB187B"/>
    <w:rsid w:val="00CB2835"/>
    <w:rsid w:val="00CB3285"/>
    <w:rsid w:val="00CB4500"/>
    <w:rsid w:val="00CC0C72"/>
    <w:rsid w:val="00CC2BFD"/>
    <w:rsid w:val="00CD1A9A"/>
    <w:rsid w:val="00CD3476"/>
    <w:rsid w:val="00CD38FF"/>
    <w:rsid w:val="00CD64DF"/>
    <w:rsid w:val="00CE225F"/>
    <w:rsid w:val="00CE7624"/>
    <w:rsid w:val="00CF2F50"/>
    <w:rsid w:val="00CF30B9"/>
    <w:rsid w:val="00CF4148"/>
    <w:rsid w:val="00CF4EF1"/>
    <w:rsid w:val="00CF6198"/>
    <w:rsid w:val="00CF6FE5"/>
    <w:rsid w:val="00D02919"/>
    <w:rsid w:val="00D04C61"/>
    <w:rsid w:val="00D05B8D"/>
    <w:rsid w:val="00D05B9B"/>
    <w:rsid w:val="00D065A2"/>
    <w:rsid w:val="00D079AA"/>
    <w:rsid w:val="00D07F00"/>
    <w:rsid w:val="00D1068F"/>
    <w:rsid w:val="00D1130F"/>
    <w:rsid w:val="00D17934"/>
    <w:rsid w:val="00D17B72"/>
    <w:rsid w:val="00D211D8"/>
    <w:rsid w:val="00D25126"/>
    <w:rsid w:val="00D3185C"/>
    <w:rsid w:val="00D3205F"/>
    <w:rsid w:val="00D3318E"/>
    <w:rsid w:val="00D33E72"/>
    <w:rsid w:val="00D35BD6"/>
    <w:rsid w:val="00D361B5"/>
    <w:rsid w:val="00D402DB"/>
    <w:rsid w:val="00D411A2"/>
    <w:rsid w:val="00D45899"/>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11EA"/>
    <w:rsid w:val="00D943F8"/>
    <w:rsid w:val="00D95470"/>
    <w:rsid w:val="00D96B55"/>
    <w:rsid w:val="00DA2619"/>
    <w:rsid w:val="00DA2E57"/>
    <w:rsid w:val="00DA3EBF"/>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ABC"/>
    <w:rsid w:val="00DF5EEB"/>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21D3"/>
    <w:rsid w:val="00E53D8E"/>
    <w:rsid w:val="00E54950"/>
    <w:rsid w:val="00E55FB3"/>
    <w:rsid w:val="00E56A01"/>
    <w:rsid w:val="00E629A1"/>
    <w:rsid w:val="00E6794C"/>
    <w:rsid w:val="00E71591"/>
    <w:rsid w:val="00E71CEB"/>
    <w:rsid w:val="00E7474F"/>
    <w:rsid w:val="00E77901"/>
    <w:rsid w:val="00E80DE3"/>
    <w:rsid w:val="00E81348"/>
    <w:rsid w:val="00E82C55"/>
    <w:rsid w:val="00E8787E"/>
    <w:rsid w:val="00E92AC3"/>
    <w:rsid w:val="00EA2F6A"/>
    <w:rsid w:val="00EB00E0"/>
    <w:rsid w:val="00EB05D5"/>
    <w:rsid w:val="00EB1931"/>
    <w:rsid w:val="00EB6089"/>
    <w:rsid w:val="00EB70A7"/>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3636A"/>
    <w:rsid w:val="00F40A70"/>
    <w:rsid w:val="00F43A37"/>
    <w:rsid w:val="00F4641B"/>
    <w:rsid w:val="00F46EB8"/>
    <w:rsid w:val="00F476B8"/>
    <w:rsid w:val="00F47F4E"/>
    <w:rsid w:val="00F50CD1"/>
    <w:rsid w:val="00F511E4"/>
    <w:rsid w:val="00F52D09"/>
    <w:rsid w:val="00F52E08"/>
    <w:rsid w:val="00F53A66"/>
    <w:rsid w:val="00F5462D"/>
    <w:rsid w:val="00F55B21"/>
    <w:rsid w:val="00F56EF6"/>
    <w:rsid w:val="00F60082"/>
    <w:rsid w:val="00F61266"/>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803"/>
    <w:rsid w:val="00FA2C46"/>
    <w:rsid w:val="00FA3525"/>
    <w:rsid w:val="00FA5A53"/>
    <w:rsid w:val="00FA72EC"/>
    <w:rsid w:val="00FB3501"/>
    <w:rsid w:val="00FB4769"/>
    <w:rsid w:val="00FB4CDA"/>
    <w:rsid w:val="00FB5B4E"/>
    <w:rsid w:val="00FB6481"/>
    <w:rsid w:val="00FB6D36"/>
    <w:rsid w:val="00FC0965"/>
    <w:rsid w:val="00FC0A7D"/>
    <w:rsid w:val="00FC0F81"/>
    <w:rsid w:val="00FC252F"/>
    <w:rsid w:val="00FC395C"/>
    <w:rsid w:val="00FC5E8E"/>
    <w:rsid w:val="00FD1F9F"/>
    <w:rsid w:val="00FD3766"/>
    <w:rsid w:val="00FD47C4"/>
    <w:rsid w:val="00FE2DCF"/>
    <w:rsid w:val="00FE3FA7"/>
    <w:rsid w:val="00FF2A4E"/>
    <w:rsid w:val="00FF2FCE"/>
    <w:rsid w:val="00FF4F7D"/>
    <w:rsid w:val="00FF6D9D"/>
    <w:rsid w:val="00FF7DD5"/>
    <w:rsid w:val="1F9D0CB2"/>
    <w:rsid w:val="2581C3D3"/>
    <w:rsid w:val="2709C3B8"/>
    <w:rsid w:val="66D5C0A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31436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Mention">
    <w:name w:val="Mention"/>
    <w:basedOn w:val="DefaultParagraphFont"/>
    <w:uiPriority w:val="99"/>
    <w:unhideWhenUsed/>
    <w:rsid w:val="003143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pmanual.vic.gov.au/advice-and-protocols/advice/aboriginal-children/cultural-plans-adv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pmanual.vic.gov.au/advice-and-protocols/advice/out-home-care/kinship-placement/kinship-care-assessment" TargetMode="External"/><Relationship Id="rId2" Type="http://schemas.openxmlformats.org/officeDocument/2006/relationships/customXml" Target="../customXml/item2.xml"/><Relationship Id="rId16" Type="http://schemas.openxmlformats.org/officeDocument/2006/relationships/hyperlink" Target="https://www.cpmanual.vic.gov.au/advice-and-protocols/tools-checklists/safer-and-maram-assessment-tools/my-views" TargetMode="External"/><Relationship Id="rId20" Type="http://schemas.openxmlformats.org/officeDocument/2006/relationships/hyperlink" Target="https://www.cpmanual.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pmanual.vic.gov.au/our-approach/roles-and-responsibilities/charter-children-out-home-ca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ppdirectorate@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au/united-nations-convention-on-the-rights-of-the-child?srsltid=AfmBOoqdEIy3SvpD_jWUU7p0oG6ZqYcXshF2APR6LOQ_t8wG5lyvffUP"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745864A623C4695B16ABDABA0B14F" ma:contentTypeVersion="16" ma:contentTypeDescription="Create a new document." ma:contentTypeScope="" ma:versionID="e213db50301051de3d2409380483e377">
  <xsd:schema xmlns:xsd="http://www.w3.org/2001/XMLSchema" xmlns:xs="http://www.w3.org/2001/XMLSchema" xmlns:p="http://schemas.microsoft.com/office/2006/metadata/properties" xmlns:ns2="53c33716-63db-4dd6-88de-dda63174b711" xmlns:ns3="36376b00-c707-440a-b503-dc0f280a72a7" targetNamespace="http://schemas.microsoft.com/office/2006/metadata/properties" ma:root="true" ma:fieldsID="b176c3c287b9fdc94182c2b7c5f004b8" ns2:_="" ns3:_="">
    <xsd:import namespace="53c33716-63db-4dd6-88de-dda63174b711"/>
    <xsd:import namespace="36376b00-c707-440a-b503-dc0f280a7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date" minOccurs="0"/>
                <xsd:element ref="ns2:sent"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33716-63db-4dd6-88de-dda63174b71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ate" ma:index="13" nillable="true" ma:displayName="date sent out" ma:internalName="date" ma:readOnly="false">
      <xsd:simpleType>
        <xsd:restriction base="dms:Text">
          <xsd:maxLength value="255"/>
        </xsd:restriction>
      </xsd:simpleType>
    </xsd:element>
    <xsd:element name="sent" ma:index="14" nillable="true" ma:displayName="sent to" ma:list="UserInfo" ma:SharePointGroup="0" ma:internalName="sen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6b00-c707-440a-b503-dc0f280a72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1addcb4-db0b-4aa8-a574-73a0735d6ce7}" ma:internalName="TaxCatchAll" ma:showField="CatchAllData" ma:web="36376b00-c707-440a-b503-dc0f280a7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33716-63db-4dd6-88de-dda63174b711">
      <Terms xmlns="http://schemas.microsoft.com/office/infopath/2007/PartnerControls"/>
    </lcf76f155ced4ddcb4097134ff3c332f>
    <TaxCatchAll xmlns="36376b00-c707-440a-b503-dc0f280a72a7" xsi:nil="true"/>
    <sent xmlns="53c33716-63db-4dd6-88de-dda63174b711">
      <UserInfo>
        <DisplayName/>
        <AccountId xsi:nil="true"/>
        <AccountType/>
      </UserInfo>
    </sent>
    <date xmlns="53c33716-63db-4dd6-88de-dda63174b7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634EF02-EF61-4D3A-944E-94CFEC357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33716-63db-4dd6-88de-dda63174b711"/>
    <ds:schemaRef ds:uri="36376b00-c707-440a-b503-dc0f280a7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3c33716-63db-4dd6-88de-dda63174b711"/>
    <ds:schemaRef ds:uri="36376b00-c707-440a-b503-dc0f280a72a7"/>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959</Words>
  <Characters>5309</Characters>
  <Application>Microsoft Office Word</Application>
  <DocSecurity>0</DocSecurity>
  <Lines>98</Lines>
  <Paragraphs>47</Paragraphs>
  <ScaleCrop>false</ScaleCrop>
  <Manager/>
  <Company>Victoria State Government, Department of Families, Fairness and Housing</Company>
  <LinksUpToDate>false</LinksUpToDate>
  <CharactersWithSpaces>6221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Vongai Chinyoka (DFFH)</dc:creator>
  <cp:keywords/>
  <dc:description/>
  <cp:lastModifiedBy>Suzie Maher (DFFH)</cp:lastModifiedBy>
  <cp:revision>3</cp:revision>
  <cp:lastPrinted>2025-12-23T02:07:00Z</cp:lastPrinted>
  <dcterms:created xsi:type="dcterms:W3CDTF">2025-12-23T02:27:00Z</dcterms:created>
  <dcterms:modified xsi:type="dcterms:W3CDTF">2025-12-23T02:27:00Z</dcterms:modified>
  <cp:category>DFFH cyan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0x010100A30745864A623C4695B16ABDABA0B14F</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2022-04-22T00:50:15Z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1c38dcc4-b379-4cc8-8e47-9b488751c97d</vt:lpwstr>
  </property>
  <property fmtid="{D5CDD505-2E9C-101B-9397-08002B2CF9AE}" pid="11" name="MSIP_Label_43e64453-338c-4f93-8a4d-0039a0a41f2a_ContentBits">
    <vt:lpwstr>2</vt:lpwstr>
  </property>
  <property fmtid="{D5CDD505-2E9C-101B-9397-08002B2CF9AE}" pid="12" name="MediaServiceImageTags">
    <vt:lpwstr/>
  </property>
</Properties>
</file>