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3F15" w14:textId="77777777" w:rsidR="0074696E" w:rsidRPr="004C6EEE" w:rsidRDefault="00BC3408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631F3F48" wp14:editId="631F3F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F3F16" w14:textId="77777777" w:rsidR="00A62D44" w:rsidRPr="004C6EEE" w:rsidRDefault="00A62D44" w:rsidP="004C6EEE">
      <w:pPr>
        <w:pStyle w:val="Sectionbreakfirstpage"/>
        <w:sectPr w:rsidR="00A62D44" w:rsidRPr="004C6EEE" w:rsidSect="00AB38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num="2"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31F3F18" w14:textId="77777777" w:rsidTr="002E65B1">
        <w:trPr>
          <w:trHeight w:val="1081"/>
        </w:trPr>
        <w:tc>
          <w:tcPr>
            <w:tcW w:w="8046" w:type="dxa"/>
            <w:shd w:val="clear" w:color="auto" w:fill="auto"/>
            <w:vAlign w:val="bottom"/>
          </w:tcPr>
          <w:p w14:paraId="631F3F17" w14:textId="77777777" w:rsidR="00AD784C" w:rsidRPr="00161AA0" w:rsidRDefault="00D11BCA" w:rsidP="00A77892">
            <w:pPr>
              <w:pStyle w:val="DHHSmainheading"/>
            </w:pPr>
            <w:r>
              <w:t xml:space="preserve">Immunisation </w:t>
            </w:r>
            <w:r w:rsidR="002F765B">
              <w:t>for children in out-of-home care</w:t>
            </w:r>
          </w:p>
        </w:tc>
      </w:tr>
      <w:tr w:rsidR="00AD784C" w14:paraId="631F3F1A" w14:textId="77777777" w:rsidTr="002E65B1">
        <w:trPr>
          <w:trHeight w:hRule="exact" w:val="1007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31F3F19" w14:textId="77777777" w:rsidR="00357B4E" w:rsidRPr="00AD784C" w:rsidRDefault="002F765B" w:rsidP="002E65B1">
            <w:pPr>
              <w:pStyle w:val="DHHSmainsubheading"/>
              <w:rPr>
                <w:szCs w:val="28"/>
              </w:rPr>
            </w:pPr>
            <w:r>
              <w:t xml:space="preserve">Information for Immunisation Providers </w:t>
            </w:r>
            <w:r w:rsidR="00A77892">
              <w:t xml:space="preserve"> </w:t>
            </w:r>
          </w:p>
        </w:tc>
      </w:tr>
    </w:tbl>
    <w:p w14:paraId="631F3F1B" w14:textId="77777777" w:rsidR="00AB38C7" w:rsidRDefault="00AB38C7" w:rsidP="002F765B">
      <w:pPr>
        <w:pStyle w:val="DHHSbullet1"/>
        <w:numPr>
          <w:ilvl w:val="0"/>
          <w:numId w:val="0"/>
        </w:numPr>
        <w:rPr>
          <w:b/>
        </w:rPr>
        <w:sectPr w:rsidR="00AB38C7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631F3F1C" w14:textId="77777777" w:rsidR="002F765B" w:rsidRPr="002E65B1" w:rsidRDefault="00BC3408" w:rsidP="002E65B1">
      <w:pPr>
        <w:pStyle w:val="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1F3F4A" wp14:editId="421BD3D5">
                <wp:simplePos x="0" y="0"/>
                <wp:positionH relativeFrom="column">
                  <wp:posOffset>-278447</wp:posOffset>
                </wp:positionH>
                <wp:positionV relativeFrom="paragraph">
                  <wp:posOffset>363855</wp:posOffset>
                </wp:positionV>
                <wp:extent cx="3566160" cy="5162550"/>
                <wp:effectExtent l="0" t="0" r="15240" b="1905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516255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6A69B" id="AutoShape 33" o:spid="_x0000_s1026" style="position:absolute;margin-left:-21.9pt;margin-top:28.65pt;width:280.8pt;height:40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" fillcolor="#eaeaea" strokecolor="#b6dde8"/>
            </w:pict>
          </mc:Fallback>
        </mc:AlternateContent>
      </w:r>
      <w:r w:rsidR="002F765B" w:rsidRPr="004E46A1">
        <w:t xml:space="preserve">What </w:t>
      </w:r>
      <w:r w:rsidR="00560F1E">
        <w:t>you</w:t>
      </w:r>
      <w:r w:rsidR="002F765B" w:rsidRPr="004E46A1">
        <w:t xml:space="preserve"> </w:t>
      </w:r>
      <w:r w:rsidR="002F765B">
        <w:t>n</w:t>
      </w:r>
      <w:r w:rsidR="002F765B" w:rsidRPr="004E46A1">
        <w:t xml:space="preserve">eed to </w:t>
      </w:r>
      <w:r w:rsidR="002F765B">
        <w:t>k</w:t>
      </w:r>
      <w:r w:rsidR="002F765B" w:rsidRPr="004E46A1">
        <w:t>now</w:t>
      </w:r>
    </w:p>
    <w:p w14:paraId="631F3F1D" w14:textId="77777777" w:rsidR="0004155B" w:rsidRPr="00CC3C21" w:rsidRDefault="00075AB1" w:rsidP="008746BD">
      <w:pPr>
        <w:pStyle w:val="DHHSbullet1"/>
        <w:jc w:val="both"/>
        <w:rPr>
          <w:sz w:val="19"/>
          <w:szCs w:val="19"/>
        </w:rPr>
      </w:pPr>
      <w:r>
        <w:rPr>
          <w:sz w:val="19"/>
          <w:szCs w:val="19"/>
        </w:rPr>
        <w:t>Regardless of</w:t>
      </w:r>
      <w:r w:rsidR="008207BB" w:rsidRPr="00CC3C21">
        <w:rPr>
          <w:sz w:val="19"/>
          <w:szCs w:val="19"/>
        </w:rPr>
        <w:t xml:space="preserve"> the age of the child or young person in out-of-home care, it is important to know if their immunisations are up to date</w:t>
      </w:r>
      <w:r w:rsidR="0004155B" w:rsidRPr="00CC3C21">
        <w:rPr>
          <w:sz w:val="19"/>
          <w:szCs w:val="19"/>
        </w:rPr>
        <w:t xml:space="preserve"> </w:t>
      </w:r>
    </w:p>
    <w:p w14:paraId="631F3F1E" w14:textId="77777777" w:rsidR="0004155B" w:rsidRPr="00CC3C21" w:rsidRDefault="00560F1E" w:rsidP="008746BD">
      <w:pPr>
        <w:pStyle w:val="DHHSbullet1"/>
        <w:jc w:val="both"/>
        <w:rPr>
          <w:sz w:val="19"/>
          <w:szCs w:val="19"/>
        </w:rPr>
      </w:pPr>
      <w:r w:rsidRPr="00CC3C21">
        <w:rPr>
          <w:sz w:val="19"/>
          <w:szCs w:val="19"/>
        </w:rPr>
        <w:t>A longer</w:t>
      </w:r>
      <w:r w:rsidR="0004155B" w:rsidRPr="00CC3C21">
        <w:rPr>
          <w:sz w:val="19"/>
          <w:szCs w:val="19"/>
        </w:rPr>
        <w:t xml:space="preserve"> </w:t>
      </w:r>
      <w:r w:rsidR="004B3529" w:rsidRPr="00CC3C21">
        <w:rPr>
          <w:sz w:val="19"/>
          <w:szCs w:val="19"/>
        </w:rPr>
        <w:t xml:space="preserve">initial </w:t>
      </w:r>
      <w:r w:rsidR="0004155B" w:rsidRPr="00CC3C21">
        <w:rPr>
          <w:sz w:val="19"/>
          <w:szCs w:val="19"/>
        </w:rPr>
        <w:t xml:space="preserve">appointment </w:t>
      </w:r>
      <w:r w:rsidRPr="00CC3C21">
        <w:rPr>
          <w:sz w:val="19"/>
          <w:szCs w:val="19"/>
        </w:rPr>
        <w:t xml:space="preserve">should be booked </w:t>
      </w:r>
      <w:r w:rsidR="0004155B" w:rsidRPr="00CC3C21">
        <w:rPr>
          <w:sz w:val="19"/>
          <w:szCs w:val="19"/>
        </w:rPr>
        <w:t xml:space="preserve">so </w:t>
      </w:r>
      <w:r w:rsidR="004B3529" w:rsidRPr="00CC3C21">
        <w:rPr>
          <w:sz w:val="19"/>
          <w:szCs w:val="19"/>
        </w:rPr>
        <w:t>that vaccine catch-up can be undertaken if required</w:t>
      </w:r>
    </w:p>
    <w:p w14:paraId="631F3F1F" w14:textId="77777777" w:rsidR="008207BB" w:rsidRPr="00CC3C21" w:rsidRDefault="008207BB" w:rsidP="008746BD">
      <w:pPr>
        <w:pStyle w:val="DHHSbullet1"/>
        <w:jc w:val="both"/>
        <w:rPr>
          <w:sz w:val="19"/>
          <w:szCs w:val="19"/>
        </w:rPr>
      </w:pPr>
      <w:r w:rsidRPr="00CC3C21">
        <w:rPr>
          <w:sz w:val="19"/>
          <w:szCs w:val="19"/>
        </w:rPr>
        <w:t xml:space="preserve">Children in out-of-home care are often behind with their immunisations, putting them and others at risk of </w:t>
      </w:r>
      <w:r w:rsidR="00F91AEB" w:rsidRPr="00CC3C21">
        <w:rPr>
          <w:sz w:val="19"/>
          <w:szCs w:val="19"/>
        </w:rPr>
        <w:t xml:space="preserve">vaccine </w:t>
      </w:r>
      <w:r w:rsidRPr="00CC3C21">
        <w:rPr>
          <w:sz w:val="19"/>
          <w:szCs w:val="19"/>
        </w:rPr>
        <w:t>preventable disease</w:t>
      </w:r>
    </w:p>
    <w:p w14:paraId="631F3F20" w14:textId="30FF319F" w:rsidR="008207BB" w:rsidRDefault="002F765B" w:rsidP="008746BD">
      <w:pPr>
        <w:pStyle w:val="DHHSbullet1"/>
        <w:jc w:val="both"/>
        <w:rPr>
          <w:sz w:val="19"/>
          <w:szCs w:val="19"/>
        </w:rPr>
      </w:pPr>
      <w:r w:rsidRPr="00CC3C21">
        <w:rPr>
          <w:sz w:val="19"/>
          <w:szCs w:val="19"/>
        </w:rPr>
        <w:t xml:space="preserve">It is the responsibility of </w:t>
      </w:r>
      <w:r w:rsidR="0073277E" w:rsidRPr="00CC3C21">
        <w:rPr>
          <w:sz w:val="19"/>
          <w:szCs w:val="19"/>
        </w:rPr>
        <w:t xml:space="preserve">the </w:t>
      </w:r>
      <w:r w:rsidRPr="00CC3C21">
        <w:rPr>
          <w:sz w:val="19"/>
          <w:szCs w:val="19"/>
        </w:rPr>
        <w:t>child</w:t>
      </w:r>
      <w:r w:rsidR="0073277E" w:rsidRPr="00CC3C21">
        <w:rPr>
          <w:sz w:val="19"/>
          <w:szCs w:val="19"/>
        </w:rPr>
        <w:t xml:space="preserve">’s carer to </w:t>
      </w:r>
      <w:r w:rsidR="00564D5D" w:rsidRPr="00CC3C21">
        <w:rPr>
          <w:sz w:val="19"/>
          <w:szCs w:val="19"/>
        </w:rPr>
        <w:t>bring</w:t>
      </w:r>
      <w:r w:rsidR="008207BB">
        <w:rPr>
          <w:sz w:val="19"/>
          <w:szCs w:val="19"/>
        </w:rPr>
        <w:t xml:space="preserve"> a copy of the</w:t>
      </w:r>
      <w:r w:rsidR="001A58F2">
        <w:rPr>
          <w:sz w:val="19"/>
          <w:szCs w:val="19"/>
        </w:rPr>
        <w:t xml:space="preserve">ir </w:t>
      </w:r>
      <w:r w:rsidR="001A58F2" w:rsidRPr="001A58F2">
        <w:rPr>
          <w:b/>
          <w:sz w:val="19"/>
          <w:szCs w:val="19"/>
        </w:rPr>
        <w:t>child specific</w:t>
      </w:r>
      <w:r w:rsidR="008207BB">
        <w:rPr>
          <w:sz w:val="19"/>
          <w:szCs w:val="19"/>
        </w:rPr>
        <w:t xml:space="preserve"> </w:t>
      </w:r>
      <w:r w:rsidR="008207BB" w:rsidRPr="00CC3C21">
        <w:rPr>
          <w:b/>
          <w:sz w:val="19"/>
          <w:szCs w:val="19"/>
        </w:rPr>
        <w:t>instrument of authorisation</w:t>
      </w:r>
      <w:r w:rsidR="008207BB">
        <w:rPr>
          <w:sz w:val="19"/>
          <w:szCs w:val="19"/>
        </w:rPr>
        <w:t xml:space="preserve"> </w:t>
      </w:r>
      <w:r w:rsidR="001A58F2" w:rsidRPr="001A58F2">
        <w:rPr>
          <w:b/>
          <w:sz w:val="19"/>
          <w:szCs w:val="19"/>
        </w:rPr>
        <w:t>or standard authorisation</w:t>
      </w:r>
      <w:r w:rsidR="001A58F2">
        <w:rPr>
          <w:sz w:val="19"/>
          <w:szCs w:val="19"/>
        </w:rPr>
        <w:t xml:space="preserve">, issued by their Community Service Organisation </w:t>
      </w:r>
      <w:r w:rsidR="008207BB">
        <w:rPr>
          <w:sz w:val="19"/>
          <w:szCs w:val="19"/>
        </w:rPr>
        <w:t xml:space="preserve">to medical appointments as evidence of their authority to </w:t>
      </w:r>
      <w:r w:rsidR="002E65B1">
        <w:rPr>
          <w:sz w:val="19"/>
          <w:szCs w:val="19"/>
        </w:rPr>
        <w:t xml:space="preserve">give valid </w:t>
      </w:r>
      <w:r w:rsidR="008207BB">
        <w:rPr>
          <w:sz w:val="19"/>
          <w:szCs w:val="19"/>
        </w:rPr>
        <w:t>consent to immunis</w:t>
      </w:r>
      <w:r w:rsidR="00564D5D">
        <w:rPr>
          <w:sz w:val="19"/>
          <w:szCs w:val="19"/>
        </w:rPr>
        <w:t>e</w:t>
      </w:r>
      <w:r w:rsidR="008207BB">
        <w:rPr>
          <w:sz w:val="19"/>
          <w:szCs w:val="19"/>
        </w:rPr>
        <w:t xml:space="preserve"> the child</w:t>
      </w:r>
    </w:p>
    <w:p w14:paraId="491F7E1F" w14:textId="58AD9882" w:rsidR="00D927FE" w:rsidRPr="00A74EBC" w:rsidRDefault="00D927FE" w:rsidP="00D927FE">
      <w:pPr>
        <w:pStyle w:val="DHHSbullet1"/>
        <w:jc w:val="both"/>
        <w:rPr>
          <w:sz w:val="19"/>
          <w:szCs w:val="19"/>
        </w:rPr>
      </w:pPr>
      <w:r w:rsidRPr="00A74EBC">
        <w:rPr>
          <w:i/>
          <w:iCs/>
          <w:sz w:val="19"/>
          <w:szCs w:val="19"/>
        </w:rPr>
        <w:t>Mature minor</w:t>
      </w:r>
      <w:r w:rsidR="00B54EF6" w:rsidRPr="00A74EBC">
        <w:rPr>
          <w:rStyle w:val="FootnoteReference"/>
          <w:i/>
          <w:iCs/>
          <w:sz w:val="19"/>
          <w:szCs w:val="19"/>
        </w:rPr>
        <w:footnoteReference w:id="1"/>
      </w:r>
      <w:r w:rsidRPr="00A74EBC">
        <w:rPr>
          <w:i/>
          <w:iCs/>
          <w:sz w:val="19"/>
          <w:szCs w:val="19"/>
        </w:rPr>
        <w:t xml:space="preserve"> consent</w:t>
      </w:r>
      <w:r w:rsidRPr="00A74EBC">
        <w:rPr>
          <w:sz w:val="19"/>
          <w:szCs w:val="19"/>
        </w:rPr>
        <w:t xml:space="preserve"> may be used if the Immunisation Provider deems an adolescent can provide their own valid consent for vaccination. </w:t>
      </w:r>
    </w:p>
    <w:p w14:paraId="631F3F21" w14:textId="500DC303" w:rsidR="008207BB" w:rsidRPr="006139E0" w:rsidRDefault="008207BB" w:rsidP="008746BD">
      <w:pPr>
        <w:pStyle w:val="DHHSbullet1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GPs </w:t>
      </w:r>
      <w:r w:rsidR="0004155B">
        <w:rPr>
          <w:sz w:val="19"/>
          <w:szCs w:val="19"/>
        </w:rPr>
        <w:t>should ensure</w:t>
      </w:r>
      <w:r w:rsidR="00564D5D">
        <w:rPr>
          <w:sz w:val="19"/>
          <w:szCs w:val="19"/>
        </w:rPr>
        <w:t xml:space="preserve"> the c</w:t>
      </w:r>
      <w:r>
        <w:rPr>
          <w:sz w:val="19"/>
          <w:szCs w:val="19"/>
        </w:rPr>
        <w:t xml:space="preserve">arer is aware of the </w:t>
      </w:r>
      <w:r w:rsidR="00560F1E">
        <w:rPr>
          <w:sz w:val="19"/>
          <w:szCs w:val="19"/>
        </w:rPr>
        <w:t xml:space="preserve">immunisation </w:t>
      </w:r>
      <w:r>
        <w:rPr>
          <w:sz w:val="19"/>
          <w:szCs w:val="19"/>
        </w:rPr>
        <w:t>catch-up plan</w:t>
      </w:r>
      <w:r w:rsidR="0004155B">
        <w:rPr>
          <w:sz w:val="19"/>
          <w:szCs w:val="19"/>
        </w:rPr>
        <w:t xml:space="preserve"> and</w:t>
      </w:r>
      <w:r>
        <w:rPr>
          <w:sz w:val="19"/>
          <w:szCs w:val="19"/>
        </w:rPr>
        <w:t xml:space="preserve"> </w:t>
      </w:r>
      <w:r w:rsidR="00560F1E">
        <w:rPr>
          <w:sz w:val="19"/>
          <w:szCs w:val="19"/>
        </w:rPr>
        <w:t xml:space="preserve">the dates of </w:t>
      </w:r>
      <w:r>
        <w:rPr>
          <w:sz w:val="19"/>
          <w:szCs w:val="19"/>
        </w:rPr>
        <w:t xml:space="preserve">follow-up appointments </w:t>
      </w:r>
      <w:r w:rsidR="00560F1E">
        <w:rPr>
          <w:sz w:val="19"/>
          <w:szCs w:val="19"/>
        </w:rPr>
        <w:t xml:space="preserve">to ensure </w:t>
      </w:r>
      <w:r>
        <w:rPr>
          <w:sz w:val="19"/>
          <w:szCs w:val="19"/>
        </w:rPr>
        <w:t xml:space="preserve">catch-up </w:t>
      </w:r>
      <w:r w:rsidR="00560F1E">
        <w:rPr>
          <w:sz w:val="19"/>
          <w:szCs w:val="19"/>
        </w:rPr>
        <w:t xml:space="preserve">immunisations are administered </w:t>
      </w:r>
      <w:r>
        <w:rPr>
          <w:sz w:val="19"/>
          <w:szCs w:val="19"/>
        </w:rPr>
        <w:t>in a timely manner</w:t>
      </w:r>
    </w:p>
    <w:p w14:paraId="631F3F22" w14:textId="77777777" w:rsidR="002F765B" w:rsidRPr="00CC3C21" w:rsidRDefault="002F765B" w:rsidP="008746BD">
      <w:pPr>
        <w:pStyle w:val="DHHSbullet1"/>
        <w:jc w:val="both"/>
        <w:rPr>
          <w:sz w:val="19"/>
          <w:szCs w:val="19"/>
        </w:rPr>
      </w:pPr>
      <w:r w:rsidRPr="00CC3C21">
        <w:rPr>
          <w:sz w:val="19"/>
          <w:szCs w:val="19"/>
        </w:rPr>
        <w:t xml:space="preserve">Carers of children in out-of-home care will be required to provide an </w:t>
      </w:r>
      <w:r w:rsidR="00E822F2">
        <w:rPr>
          <w:sz w:val="19"/>
          <w:szCs w:val="19"/>
        </w:rPr>
        <w:t xml:space="preserve">up to date </w:t>
      </w:r>
      <w:r w:rsidRPr="00EE3068">
        <w:rPr>
          <w:i/>
          <w:sz w:val="19"/>
          <w:szCs w:val="19"/>
        </w:rPr>
        <w:t>Immunisation History Statement</w:t>
      </w:r>
      <w:r w:rsidRPr="00CC3C21">
        <w:rPr>
          <w:sz w:val="19"/>
          <w:szCs w:val="19"/>
        </w:rPr>
        <w:t xml:space="preserve"> for the</w:t>
      </w:r>
      <w:r w:rsidR="004B3529" w:rsidRPr="00CC3C21">
        <w:rPr>
          <w:sz w:val="19"/>
          <w:szCs w:val="19"/>
        </w:rPr>
        <w:t xml:space="preserve"> child</w:t>
      </w:r>
      <w:r w:rsidRPr="00CC3C21">
        <w:rPr>
          <w:sz w:val="19"/>
          <w:szCs w:val="19"/>
        </w:rPr>
        <w:t xml:space="preserve"> to attend kindergarten, childcare and </w:t>
      </w:r>
      <w:r w:rsidR="00564D5D" w:rsidRPr="00CC3C21">
        <w:rPr>
          <w:sz w:val="19"/>
          <w:szCs w:val="19"/>
        </w:rPr>
        <w:t xml:space="preserve">primary </w:t>
      </w:r>
      <w:r w:rsidRPr="00CC3C21">
        <w:rPr>
          <w:sz w:val="19"/>
          <w:szCs w:val="19"/>
        </w:rPr>
        <w:t>school</w:t>
      </w:r>
      <w:r w:rsidR="00F91AEB" w:rsidRPr="00CC3C21">
        <w:rPr>
          <w:sz w:val="19"/>
          <w:szCs w:val="19"/>
        </w:rPr>
        <w:t xml:space="preserve"> in Victoria</w:t>
      </w:r>
    </w:p>
    <w:p w14:paraId="631F3F23" w14:textId="77777777" w:rsidR="002F765B" w:rsidRPr="00CC3C21" w:rsidRDefault="008207BB" w:rsidP="008746BD">
      <w:pPr>
        <w:pStyle w:val="DHHSbullet1"/>
        <w:jc w:val="both"/>
        <w:rPr>
          <w:sz w:val="19"/>
          <w:szCs w:val="19"/>
        </w:rPr>
      </w:pPr>
      <w:r w:rsidRPr="00CC3C21">
        <w:rPr>
          <w:sz w:val="19"/>
          <w:szCs w:val="19"/>
        </w:rPr>
        <w:t>I</w:t>
      </w:r>
      <w:r w:rsidR="002F765B" w:rsidRPr="00CC3C21">
        <w:rPr>
          <w:sz w:val="19"/>
          <w:szCs w:val="19"/>
        </w:rPr>
        <w:t>f immunisations are not up to date</w:t>
      </w:r>
      <w:r w:rsidRPr="00CC3C21">
        <w:rPr>
          <w:sz w:val="19"/>
          <w:szCs w:val="19"/>
        </w:rPr>
        <w:t xml:space="preserve"> </w:t>
      </w:r>
      <w:r w:rsidR="00F91AEB" w:rsidRPr="00CC3C21">
        <w:rPr>
          <w:sz w:val="19"/>
          <w:szCs w:val="19"/>
        </w:rPr>
        <w:t>and recorded on AIR</w:t>
      </w:r>
      <w:r w:rsidR="00560F1E">
        <w:rPr>
          <w:sz w:val="19"/>
          <w:szCs w:val="19"/>
        </w:rPr>
        <w:t>,</w:t>
      </w:r>
      <w:r w:rsidR="00F91AEB" w:rsidRPr="00CC3C21">
        <w:rPr>
          <w:sz w:val="19"/>
          <w:szCs w:val="19"/>
        </w:rPr>
        <w:t xml:space="preserve"> </w:t>
      </w:r>
      <w:r w:rsidR="00564D5D" w:rsidRPr="00CC3C21">
        <w:rPr>
          <w:sz w:val="19"/>
          <w:szCs w:val="19"/>
        </w:rPr>
        <w:t>the c</w:t>
      </w:r>
      <w:r w:rsidRPr="00CC3C21">
        <w:rPr>
          <w:sz w:val="19"/>
          <w:szCs w:val="19"/>
        </w:rPr>
        <w:t>arers’ access to Centrelink and Child Care Benefit payments may be restricted</w:t>
      </w:r>
      <w:r w:rsidR="00EE3068">
        <w:rPr>
          <w:sz w:val="19"/>
          <w:szCs w:val="19"/>
        </w:rPr>
        <w:t>.</w:t>
      </w:r>
    </w:p>
    <w:p w14:paraId="631F3F24" w14:textId="69687075" w:rsidR="0073277E" w:rsidRDefault="0073277E" w:rsidP="0073277E">
      <w:pPr>
        <w:pStyle w:val="Heading3"/>
      </w:pPr>
      <w:r w:rsidRPr="006D0CB5">
        <w:t xml:space="preserve">Consent for </w:t>
      </w:r>
      <w:r>
        <w:t>i</w:t>
      </w:r>
      <w:r w:rsidRPr="006D0CB5">
        <w:t>mmunisations</w:t>
      </w:r>
      <w:r w:rsidR="00560F1E">
        <w:t xml:space="preserve"> </w:t>
      </w:r>
    </w:p>
    <w:p w14:paraId="631F3F25" w14:textId="77F69C98" w:rsidR="0073277E" w:rsidRDefault="0073277E" w:rsidP="008746BD">
      <w:pPr>
        <w:pStyle w:val="DHHSbullet1"/>
        <w:jc w:val="both"/>
        <w:rPr>
          <w:sz w:val="19"/>
          <w:szCs w:val="19"/>
        </w:rPr>
      </w:pPr>
      <w:r>
        <w:rPr>
          <w:sz w:val="19"/>
          <w:szCs w:val="19"/>
        </w:rPr>
        <w:t>A</w:t>
      </w:r>
      <w:r w:rsidR="001A58F2">
        <w:rPr>
          <w:sz w:val="19"/>
          <w:szCs w:val="19"/>
        </w:rPr>
        <w:t xml:space="preserve"> child specific</w:t>
      </w:r>
      <w:r>
        <w:rPr>
          <w:sz w:val="19"/>
          <w:szCs w:val="19"/>
        </w:rPr>
        <w:t xml:space="preserve"> instrument of authorisation</w:t>
      </w:r>
      <w:r w:rsidR="001A58F2">
        <w:rPr>
          <w:sz w:val="19"/>
          <w:szCs w:val="19"/>
        </w:rPr>
        <w:t xml:space="preserve"> </w:t>
      </w:r>
      <w:r w:rsidR="00FC7281">
        <w:rPr>
          <w:sz w:val="19"/>
          <w:szCs w:val="19"/>
        </w:rPr>
        <w:t xml:space="preserve">specifying routine medical care </w:t>
      </w:r>
      <w:r w:rsidR="001A58F2">
        <w:rPr>
          <w:sz w:val="19"/>
          <w:szCs w:val="19"/>
        </w:rPr>
        <w:t>or standard authorisation</w:t>
      </w:r>
      <w:r>
        <w:rPr>
          <w:sz w:val="19"/>
          <w:szCs w:val="19"/>
        </w:rPr>
        <w:t xml:space="preserve"> allows carers to consent </w:t>
      </w:r>
      <w:r w:rsidR="001A58F2">
        <w:rPr>
          <w:sz w:val="19"/>
          <w:szCs w:val="19"/>
        </w:rPr>
        <w:t>to</w:t>
      </w:r>
      <w:r>
        <w:rPr>
          <w:sz w:val="19"/>
          <w:szCs w:val="19"/>
        </w:rPr>
        <w:t xml:space="preserve"> </w:t>
      </w:r>
      <w:r w:rsidR="00FC7281">
        <w:rPr>
          <w:sz w:val="19"/>
          <w:szCs w:val="19"/>
        </w:rPr>
        <w:t>immunisations</w:t>
      </w:r>
      <w:r>
        <w:rPr>
          <w:sz w:val="19"/>
          <w:szCs w:val="19"/>
        </w:rPr>
        <w:t xml:space="preserve">. Immunisations are </w:t>
      </w:r>
      <w:r w:rsidR="001A58F2">
        <w:rPr>
          <w:sz w:val="19"/>
          <w:szCs w:val="19"/>
        </w:rPr>
        <w:t>considered</w:t>
      </w:r>
      <w:r w:rsidR="00564D5D">
        <w:rPr>
          <w:sz w:val="19"/>
          <w:szCs w:val="19"/>
        </w:rPr>
        <w:t xml:space="preserve"> routine medical care</w:t>
      </w:r>
      <w:r w:rsidR="00FC7281">
        <w:rPr>
          <w:sz w:val="19"/>
          <w:szCs w:val="19"/>
        </w:rPr>
        <w:t>, and this is confirmed in legislation.</w:t>
      </w:r>
    </w:p>
    <w:p w14:paraId="12B21FD1" w14:textId="5522E91B" w:rsidR="0079011D" w:rsidRPr="00FC7281" w:rsidRDefault="0073277E" w:rsidP="00A74EBC">
      <w:pPr>
        <w:pStyle w:val="DHHSbullet1"/>
        <w:jc w:val="both"/>
        <w:rPr>
          <w:sz w:val="19"/>
          <w:szCs w:val="19"/>
        </w:rPr>
      </w:pPr>
      <w:r w:rsidRPr="002E65B1">
        <w:rPr>
          <w:sz w:val="19"/>
          <w:szCs w:val="19"/>
        </w:rPr>
        <w:t xml:space="preserve">Carers </w:t>
      </w:r>
      <w:r w:rsidR="00FC7281">
        <w:rPr>
          <w:sz w:val="19"/>
          <w:szCs w:val="19"/>
        </w:rPr>
        <w:t>should bring</w:t>
      </w:r>
      <w:r w:rsidRPr="002E65B1">
        <w:rPr>
          <w:sz w:val="19"/>
          <w:szCs w:val="19"/>
        </w:rPr>
        <w:t xml:space="preserve"> a copy of the </w:t>
      </w:r>
      <w:r w:rsidR="001A58F2">
        <w:rPr>
          <w:sz w:val="19"/>
          <w:szCs w:val="19"/>
        </w:rPr>
        <w:t xml:space="preserve">child specific </w:t>
      </w:r>
      <w:r w:rsidRPr="002E65B1">
        <w:rPr>
          <w:sz w:val="19"/>
          <w:szCs w:val="19"/>
        </w:rPr>
        <w:t xml:space="preserve">instrument of authorisation </w:t>
      </w:r>
      <w:r w:rsidR="001A58F2">
        <w:rPr>
          <w:sz w:val="19"/>
          <w:szCs w:val="19"/>
        </w:rPr>
        <w:t xml:space="preserve">or standard authorisation </w:t>
      </w:r>
      <w:r w:rsidRPr="002E65B1">
        <w:rPr>
          <w:sz w:val="19"/>
          <w:szCs w:val="19"/>
        </w:rPr>
        <w:t>to medical appointments as evidence of their authority to</w:t>
      </w:r>
      <w:r w:rsidR="002E65B1" w:rsidRPr="002E65B1">
        <w:rPr>
          <w:sz w:val="19"/>
          <w:szCs w:val="19"/>
        </w:rPr>
        <w:t xml:space="preserve"> provide valid </w:t>
      </w:r>
      <w:r w:rsidRPr="002E65B1">
        <w:rPr>
          <w:sz w:val="19"/>
          <w:szCs w:val="19"/>
        </w:rPr>
        <w:t>consent</w:t>
      </w:r>
      <w:r w:rsidR="00FC7281">
        <w:rPr>
          <w:sz w:val="19"/>
          <w:szCs w:val="19"/>
        </w:rPr>
        <w:t>.</w:t>
      </w:r>
    </w:p>
    <w:p w14:paraId="631F3F27" w14:textId="3755948A" w:rsidR="0073277E" w:rsidRDefault="0073277E" w:rsidP="008746BD">
      <w:pPr>
        <w:pStyle w:val="DHHSbullet1"/>
        <w:jc w:val="both"/>
        <w:rPr>
          <w:sz w:val="19"/>
          <w:szCs w:val="19"/>
        </w:rPr>
      </w:pPr>
      <w:r w:rsidRPr="002E65B1">
        <w:rPr>
          <w:sz w:val="19"/>
          <w:szCs w:val="19"/>
        </w:rPr>
        <w:t xml:space="preserve">If for exceptional reasons it is assessed not appropriate to include immunisations on the </w:t>
      </w:r>
      <w:r w:rsidR="001A58F2">
        <w:rPr>
          <w:sz w:val="19"/>
          <w:szCs w:val="19"/>
        </w:rPr>
        <w:t xml:space="preserve">child specific </w:t>
      </w:r>
      <w:r w:rsidRPr="002E65B1">
        <w:rPr>
          <w:sz w:val="19"/>
          <w:szCs w:val="19"/>
        </w:rPr>
        <w:t>instrument of authorisation, and the</w:t>
      </w:r>
      <w:r w:rsidR="001A58F2">
        <w:rPr>
          <w:sz w:val="19"/>
          <w:szCs w:val="19"/>
        </w:rPr>
        <w:t xml:space="preserve">y have not been issued with a standard authorisation and </w:t>
      </w:r>
      <w:r w:rsidRPr="002E65B1">
        <w:rPr>
          <w:sz w:val="19"/>
          <w:szCs w:val="19"/>
        </w:rPr>
        <w:t xml:space="preserve">child is subject to a family reunification order, care by Secretary order, or long-term care order, it becomes the responsibility of the </w:t>
      </w:r>
      <w:r w:rsidR="00D017DD">
        <w:rPr>
          <w:sz w:val="19"/>
          <w:szCs w:val="19"/>
        </w:rPr>
        <w:t>C</w:t>
      </w:r>
      <w:r w:rsidR="00564D5D">
        <w:rPr>
          <w:sz w:val="19"/>
          <w:szCs w:val="19"/>
        </w:rPr>
        <w:t xml:space="preserve">hild </w:t>
      </w:r>
      <w:r w:rsidR="00D017DD">
        <w:rPr>
          <w:sz w:val="19"/>
          <w:szCs w:val="19"/>
        </w:rPr>
        <w:t>P</w:t>
      </w:r>
      <w:r w:rsidR="00564D5D">
        <w:rPr>
          <w:sz w:val="19"/>
          <w:szCs w:val="19"/>
        </w:rPr>
        <w:t xml:space="preserve">rotection </w:t>
      </w:r>
      <w:r w:rsidR="00D017DD">
        <w:rPr>
          <w:sz w:val="19"/>
          <w:szCs w:val="19"/>
        </w:rPr>
        <w:t>P</w:t>
      </w:r>
      <w:r w:rsidR="00564D5D">
        <w:rPr>
          <w:sz w:val="19"/>
          <w:szCs w:val="19"/>
        </w:rPr>
        <w:t>ractitioner</w:t>
      </w:r>
      <w:r w:rsidRPr="002E65B1">
        <w:rPr>
          <w:sz w:val="19"/>
          <w:szCs w:val="19"/>
        </w:rPr>
        <w:t xml:space="preserve"> </w:t>
      </w:r>
      <w:r w:rsidR="00D017DD">
        <w:rPr>
          <w:sz w:val="19"/>
          <w:szCs w:val="19"/>
        </w:rPr>
        <w:t xml:space="preserve">(CPP) </w:t>
      </w:r>
      <w:r w:rsidRPr="002E65B1">
        <w:rPr>
          <w:sz w:val="19"/>
          <w:szCs w:val="19"/>
        </w:rPr>
        <w:t xml:space="preserve">or </w:t>
      </w:r>
      <w:r w:rsidR="00D017DD">
        <w:rPr>
          <w:sz w:val="19"/>
          <w:szCs w:val="19"/>
        </w:rPr>
        <w:t>Community Service Organisation (CSO)</w:t>
      </w:r>
      <w:r w:rsidR="00564D5D">
        <w:rPr>
          <w:sz w:val="19"/>
          <w:szCs w:val="19"/>
        </w:rPr>
        <w:t xml:space="preserve"> case manager</w:t>
      </w:r>
      <w:r w:rsidRPr="002E65B1">
        <w:rPr>
          <w:sz w:val="19"/>
          <w:szCs w:val="19"/>
        </w:rPr>
        <w:t xml:space="preserve"> to </w:t>
      </w:r>
      <w:r w:rsidR="00FC7281">
        <w:rPr>
          <w:sz w:val="19"/>
          <w:szCs w:val="19"/>
        </w:rPr>
        <w:t>provide separate consent to</w:t>
      </w:r>
      <w:r w:rsidR="00FC7281" w:rsidRPr="002E65B1">
        <w:rPr>
          <w:sz w:val="19"/>
          <w:szCs w:val="19"/>
        </w:rPr>
        <w:t xml:space="preserve"> </w:t>
      </w:r>
      <w:r w:rsidRPr="002E65B1">
        <w:rPr>
          <w:sz w:val="19"/>
          <w:szCs w:val="19"/>
        </w:rPr>
        <w:t>the immunisation for the child in a timely manner.</w:t>
      </w:r>
    </w:p>
    <w:p w14:paraId="7A33AC37" w14:textId="7BFBB1D6" w:rsidR="00604D67" w:rsidRPr="00A74EBC" w:rsidRDefault="00D27E65" w:rsidP="008746BD">
      <w:pPr>
        <w:pStyle w:val="DHHSbullet1"/>
        <w:jc w:val="both"/>
        <w:rPr>
          <w:sz w:val="19"/>
          <w:szCs w:val="19"/>
        </w:rPr>
      </w:pPr>
      <w:r w:rsidRPr="00A74EBC">
        <w:rPr>
          <w:i/>
          <w:iCs/>
          <w:sz w:val="19"/>
          <w:szCs w:val="19"/>
        </w:rPr>
        <w:t>Mature minor consent</w:t>
      </w:r>
      <w:r w:rsidRPr="00A74EBC">
        <w:rPr>
          <w:sz w:val="19"/>
          <w:szCs w:val="19"/>
        </w:rPr>
        <w:t xml:space="preserve"> may be used </w:t>
      </w:r>
      <w:r w:rsidR="004A7497" w:rsidRPr="00A74EBC">
        <w:rPr>
          <w:sz w:val="19"/>
          <w:szCs w:val="19"/>
        </w:rPr>
        <w:t xml:space="preserve">if the Immunisation Provider </w:t>
      </w:r>
      <w:r w:rsidR="001B43FC" w:rsidRPr="00A74EBC">
        <w:rPr>
          <w:sz w:val="19"/>
          <w:szCs w:val="19"/>
        </w:rPr>
        <w:t xml:space="preserve">deems </w:t>
      </w:r>
      <w:r w:rsidR="004F3926" w:rsidRPr="00A74EBC">
        <w:rPr>
          <w:sz w:val="19"/>
          <w:szCs w:val="19"/>
        </w:rPr>
        <w:t>an</w:t>
      </w:r>
      <w:r w:rsidR="001B43FC" w:rsidRPr="00A74EBC">
        <w:rPr>
          <w:sz w:val="19"/>
          <w:szCs w:val="19"/>
        </w:rPr>
        <w:t xml:space="preserve"> adolescent can provide </w:t>
      </w:r>
      <w:r w:rsidR="004F3926" w:rsidRPr="00A74EBC">
        <w:rPr>
          <w:sz w:val="19"/>
          <w:szCs w:val="19"/>
        </w:rPr>
        <w:t xml:space="preserve">their own </w:t>
      </w:r>
      <w:r w:rsidR="001B43FC" w:rsidRPr="00A74EBC">
        <w:rPr>
          <w:sz w:val="19"/>
          <w:szCs w:val="19"/>
        </w:rPr>
        <w:t>valid consent</w:t>
      </w:r>
      <w:r w:rsidR="00235A37" w:rsidRPr="00A74EBC">
        <w:rPr>
          <w:sz w:val="19"/>
          <w:szCs w:val="19"/>
        </w:rPr>
        <w:t xml:space="preserve"> for vaccination</w:t>
      </w:r>
      <w:r w:rsidR="00CE2AF3" w:rsidRPr="00A74EBC">
        <w:rPr>
          <w:sz w:val="19"/>
          <w:szCs w:val="19"/>
        </w:rPr>
        <w:t xml:space="preserve">. </w:t>
      </w:r>
    </w:p>
    <w:p w14:paraId="2764B69B" w14:textId="25C40F6E" w:rsidR="00C32BB6" w:rsidRPr="00A74EBC" w:rsidRDefault="00CE2AF3" w:rsidP="00604D67">
      <w:pPr>
        <w:pStyle w:val="DHHSbullet1"/>
        <w:numPr>
          <w:ilvl w:val="0"/>
          <w:numId w:val="0"/>
        </w:numPr>
        <w:ind w:left="284"/>
        <w:jc w:val="both"/>
        <w:rPr>
          <w:rFonts w:ascii="Calibri" w:eastAsia="Calibri" w:hAnsi="Calibri"/>
          <w:color w:val="0000FF"/>
          <w:sz w:val="22"/>
          <w:szCs w:val="22"/>
          <w:u w:val="single"/>
        </w:rPr>
      </w:pPr>
      <w:r w:rsidRPr="00A74EBC">
        <w:rPr>
          <w:sz w:val="19"/>
          <w:szCs w:val="19"/>
        </w:rPr>
        <w:t>Refer to the Department</w:t>
      </w:r>
      <w:r w:rsidR="00144FA1" w:rsidRPr="00A74EBC">
        <w:rPr>
          <w:sz w:val="19"/>
          <w:szCs w:val="19"/>
        </w:rPr>
        <w:t xml:space="preserve"> of Education and Training</w:t>
      </w:r>
      <w:r w:rsidRPr="00A74EBC">
        <w:rPr>
          <w:sz w:val="19"/>
          <w:szCs w:val="19"/>
        </w:rPr>
        <w:t xml:space="preserve"> </w:t>
      </w:r>
      <w:r w:rsidR="00614EDD" w:rsidRPr="00A74EBC">
        <w:rPr>
          <w:sz w:val="19"/>
          <w:szCs w:val="19"/>
        </w:rPr>
        <w:t>policy</w:t>
      </w:r>
      <w:r w:rsidR="00CD2C34" w:rsidRPr="00A74EBC">
        <w:rPr>
          <w:sz w:val="19"/>
          <w:szCs w:val="19"/>
        </w:rPr>
        <w:t xml:space="preserve"> </w:t>
      </w:r>
      <w:hyperlink r:id="rId17" w:history="1">
        <w:r w:rsidR="00CD2C34" w:rsidRPr="00A74EBC">
          <w:rPr>
            <w:rFonts w:ascii="Calibri" w:eastAsia="Calibri" w:hAnsi="Calibri"/>
            <w:color w:val="0000FF"/>
            <w:sz w:val="22"/>
            <w:szCs w:val="22"/>
            <w:u w:val="single"/>
          </w:rPr>
          <w:t>https://www2.education.vic.gov.au/pal/mature-minors-and-decision-making/policy</w:t>
        </w:r>
      </w:hyperlink>
    </w:p>
    <w:p w14:paraId="631F3F28" w14:textId="77777777" w:rsidR="00B6305B" w:rsidRPr="00CC3C21" w:rsidRDefault="00B6305B" w:rsidP="00726CDB">
      <w:pPr>
        <w:pStyle w:val="Heading3"/>
        <w:jc w:val="both"/>
        <w:rPr>
          <w:bCs w:val="0"/>
        </w:rPr>
      </w:pPr>
      <w:r w:rsidRPr="00A74EBC">
        <w:t>Accessing a child’s immunisation</w:t>
      </w:r>
      <w:r w:rsidRPr="00CC3C21">
        <w:t xml:space="preserve"> records </w:t>
      </w:r>
    </w:p>
    <w:p w14:paraId="631F3F29" w14:textId="409A5883" w:rsidR="0081143C" w:rsidRPr="00726CDB" w:rsidRDefault="00726CDB">
      <w:pPr>
        <w:pStyle w:val="ListParagraph"/>
        <w:numPr>
          <w:ilvl w:val="0"/>
          <w:numId w:val="12"/>
        </w:numPr>
        <w:jc w:val="both"/>
        <w:rPr>
          <w:rFonts w:ascii="Arial" w:eastAsia="Times" w:hAnsi="Arial"/>
          <w:sz w:val="19"/>
          <w:szCs w:val="19"/>
        </w:rPr>
      </w:pPr>
      <w:r w:rsidRPr="00726CDB">
        <w:rPr>
          <w:rFonts w:ascii="Arial" w:eastAsia="Times" w:hAnsi="Arial"/>
          <w:sz w:val="19"/>
          <w:szCs w:val="19"/>
        </w:rPr>
        <w:t xml:space="preserve">Access </w:t>
      </w:r>
      <w:r w:rsidR="00815DDC">
        <w:rPr>
          <w:rFonts w:ascii="Arial" w:eastAsia="Times" w:hAnsi="Arial"/>
          <w:sz w:val="19"/>
          <w:szCs w:val="19"/>
        </w:rPr>
        <w:t xml:space="preserve">the </w:t>
      </w:r>
      <w:r w:rsidR="00FC7281" w:rsidRPr="00CC3C21">
        <w:rPr>
          <w:rFonts w:ascii="Arial" w:eastAsia="Times" w:hAnsi="Arial"/>
          <w:sz w:val="19"/>
          <w:szCs w:val="19"/>
        </w:rPr>
        <w:t>Australian Immunisation Register (AIR)</w:t>
      </w:r>
      <w:r w:rsidR="00825809" w:rsidRPr="00726CDB">
        <w:rPr>
          <w:rFonts w:ascii="Arial" w:eastAsia="Times" w:hAnsi="Arial"/>
          <w:sz w:val="19"/>
          <w:szCs w:val="19"/>
        </w:rPr>
        <w:t xml:space="preserve"> through</w:t>
      </w:r>
      <w:r w:rsidR="00FC7281">
        <w:rPr>
          <w:rFonts w:ascii="Arial" w:eastAsia="Times" w:hAnsi="Arial"/>
          <w:sz w:val="19"/>
          <w:szCs w:val="19"/>
        </w:rPr>
        <w:t xml:space="preserve"> </w:t>
      </w:r>
      <w:r w:rsidR="00815DDC" w:rsidRPr="005D1503">
        <w:rPr>
          <w:rFonts w:ascii="Arial" w:eastAsia="Times" w:hAnsi="Arial"/>
          <w:sz w:val="19"/>
          <w:szCs w:val="19"/>
        </w:rPr>
        <w:t>HPOS</w:t>
      </w:r>
      <w:r w:rsidR="00815DDC">
        <w:rPr>
          <w:rStyle w:val="FootnoteReference"/>
          <w:rFonts w:ascii="Arial" w:eastAsia="Times" w:hAnsi="Arial"/>
          <w:sz w:val="19"/>
          <w:szCs w:val="19"/>
        </w:rPr>
        <w:footnoteReference w:id="2"/>
      </w:r>
      <w:r w:rsidR="00815DDC" w:rsidRPr="00FC7281">
        <w:rPr>
          <w:rFonts w:ascii="Arial" w:eastAsia="Times" w:hAnsi="Arial"/>
          <w:sz w:val="19"/>
          <w:szCs w:val="19"/>
        </w:rPr>
        <w:t xml:space="preserve"> </w:t>
      </w:r>
      <w:r w:rsidR="00825809" w:rsidRPr="00726CDB">
        <w:rPr>
          <w:rFonts w:ascii="Arial" w:eastAsia="Times" w:hAnsi="Arial"/>
          <w:sz w:val="19"/>
          <w:szCs w:val="19"/>
        </w:rPr>
        <w:t xml:space="preserve">to download and print record </w:t>
      </w:r>
      <w:r>
        <w:t>(</w:t>
      </w:r>
      <w:r w:rsidRPr="00866891">
        <w:t>https://www.humanservices.gov.au/organisations/health-professionals/services/medicare/australian-immunisation-register-health-professionals</w:t>
      </w:r>
      <w:r>
        <w:t>)</w:t>
      </w:r>
    </w:p>
    <w:p w14:paraId="631F3F2A" w14:textId="0BC5FF0C" w:rsidR="00B6305B" w:rsidRPr="00CC3C21" w:rsidRDefault="0081143C" w:rsidP="00A74EBC">
      <w:pPr>
        <w:pStyle w:val="ListParagraph"/>
        <w:numPr>
          <w:ilvl w:val="0"/>
          <w:numId w:val="12"/>
        </w:numPr>
        <w:jc w:val="both"/>
        <w:rPr>
          <w:rFonts w:ascii="Arial" w:eastAsia="Times" w:hAnsi="Arial"/>
          <w:sz w:val="19"/>
          <w:szCs w:val="19"/>
        </w:rPr>
      </w:pPr>
      <w:r w:rsidRPr="00CC3C21">
        <w:rPr>
          <w:rFonts w:ascii="Arial" w:eastAsia="Times" w:hAnsi="Arial"/>
          <w:sz w:val="19"/>
          <w:szCs w:val="19"/>
        </w:rPr>
        <w:t xml:space="preserve">Contact the AIR </w:t>
      </w:r>
      <w:r w:rsidR="00B6305B" w:rsidRPr="00CC3C21">
        <w:rPr>
          <w:rFonts w:ascii="Arial" w:eastAsia="Times" w:hAnsi="Arial"/>
          <w:sz w:val="19"/>
          <w:szCs w:val="19"/>
        </w:rPr>
        <w:t xml:space="preserve">phone 1800 653 809 </w:t>
      </w:r>
    </w:p>
    <w:p w14:paraId="631F3F2B" w14:textId="77777777" w:rsidR="0073277E" w:rsidRPr="00CC3C21" w:rsidRDefault="00B6305B" w:rsidP="00726CDB">
      <w:pPr>
        <w:pStyle w:val="Heading3"/>
        <w:jc w:val="both"/>
        <w:rPr>
          <w:b w:val="0"/>
        </w:rPr>
      </w:pPr>
      <w:r w:rsidRPr="00CC3C21">
        <w:t>Adolescents</w:t>
      </w:r>
    </w:p>
    <w:p w14:paraId="631F3F2C" w14:textId="77777777" w:rsidR="0073277E" w:rsidRPr="00CC3C21" w:rsidRDefault="00B6305B" w:rsidP="00726CDB">
      <w:pPr>
        <w:pStyle w:val="DHHSbody"/>
        <w:jc w:val="both"/>
        <w:rPr>
          <w:sz w:val="19"/>
          <w:szCs w:val="19"/>
        </w:rPr>
      </w:pPr>
      <w:r w:rsidRPr="00CC3C21">
        <w:rPr>
          <w:sz w:val="19"/>
          <w:szCs w:val="19"/>
        </w:rPr>
        <w:t>Every opportunity should be taken to make sure adolescents are up to date with missed childhood and adolescent vaccines.</w:t>
      </w:r>
      <w:r w:rsidR="0073277E" w:rsidRPr="00CC3C21">
        <w:rPr>
          <w:sz w:val="19"/>
          <w:szCs w:val="19"/>
        </w:rPr>
        <w:t xml:space="preserve"> </w:t>
      </w:r>
    </w:p>
    <w:p w14:paraId="631F3F2D" w14:textId="77777777" w:rsidR="0073277E" w:rsidRPr="00CC3C21" w:rsidRDefault="00E822F2" w:rsidP="00726CDB">
      <w:pPr>
        <w:pStyle w:val="DHHSbody"/>
        <w:jc w:val="both"/>
        <w:rPr>
          <w:sz w:val="19"/>
          <w:szCs w:val="19"/>
        </w:rPr>
      </w:pPr>
      <w:r>
        <w:rPr>
          <w:sz w:val="19"/>
          <w:szCs w:val="19"/>
        </w:rPr>
        <w:t>Free v</w:t>
      </w:r>
      <w:r w:rsidRPr="00CC3C21">
        <w:rPr>
          <w:sz w:val="19"/>
          <w:szCs w:val="19"/>
        </w:rPr>
        <w:t xml:space="preserve">accinations are routinely offered to students </w:t>
      </w:r>
      <w:r>
        <w:rPr>
          <w:sz w:val="19"/>
          <w:szCs w:val="19"/>
        </w:rPr>
        <w:t>i</w:t>
      </w:r>
      <w:r w:rsidR="0073277E" w:rsidRPr="00CC3C21">
        <w:rPr>
          <w:sz w:val="19"/>
          <w:szCs w:val="19"/>
        </w:rPr>
        <w:t>n Year 7</w:t>
      </w:r>
      <w:r>
        <w:rPr>
          <w:sz w:val="19"/>
          <w:szCs w:val="19"/>
        </w:rPr>
        <w:t>(</w:t>
      </w:r>
      <w:r w:rsidR="0073277E" w:rsidRPr="00CC3C21">
        <w:rPr>
          <w:sz w:val="19"/>
          <w:szCs w:val="19"/>
        </w:rPr>
        <w:t>age</w:t>
      </w:r>
      <w:r w:rsidR="00B00113">
        <w:rPr>
          <w:sz w:val="19"/>
          <w:szCs w:val="19"/>
        </w:rPr>
        <w:t>d</w:t>
      </w:r>
      <w:r w:rsidR="0073277E" w:rsidRPr="00CC3C21">
        <w:rPr>
          <w:sz w:val="19"/>
          <w:szCs w:val="19"/>
        </w:rPr>
        <w:t xml:space="preserve"> 12 to 13 years</w:t>
      </w:r>
      <w:r>
        <w:rPr>
          <w:sz w:val="19"/>
          <w:szCs w:val="19"/>
        </w:rPr>
        <w:t>)</w:t>
      </w:r>
      <w:r w:rsidR="00474A08">
        <w:rPr>
          <w:sz w:val="19"/>
          <w:szCs w:val="19"/>
        </w:rPr>
        <w:t xml:space="preserve"> and Year 10</w:t>
      </w:r>
      <w:r>
        <w:rPr>
          <w:sz w:val="19"/>
          <w:szCs w:val="19"/>
        </w:rPr>
        <w:t xml:space="preserve"> (</w:t>
      </w:r>
      <w:r w:rsidR="00B00113">
        <w:rPr>
          <w:sz w:val="19"/>
          <w:szCs w:val="19"/>
        </w:rPr>
        <w:t xml:space="preserve">aged </w:t>
      </w:r>
      <w:r w:rsidR="00474A08">
        <w:rPr>
          <w:sz w:val="19"/>
          <w:szCs w:val="19"/>
        </w:rPr>
        <w:t>15 to 16 years</w:t>
      </w:r>
      <w:r w:rsidR="0073277E" w:rsidRPr="00CC3C21">
        <w:rPr>
          <w:sz w:val="19"/>
          <w:szCs w:val="19"/>
        </w:rPr>
        <w:t>)</w:t>
      </w:r>
      <w:r>
        <w:rPr>
          <w:sz w:val="19"/>
          <w:szCs w:val="19"/>
        </w:rPr>
        <w:t>.</w:t>
      </w:r>
      <w:r w:rsidR="0073277E" w:rsidRPr="00CC3C21">
        <w:rPr>
          <w:sz w:val="19"/>
          <w:szCs w:val="19"/>
        </w:rPr>
        <w:t xml:space="preserve"> </w:t>
      </w:r>
    </w:p>
    <w:p w14:paraId="65E1D9C6" w14:textId="1B6CA28B" w:rsidR="00815DDC" w:rsidRDefault="0073277E" w:rsidP="00815DDC">
      <w:pPr>
        <w:pStyle w:val="DHHSbody"/>
        <w:jc w:val="both"/>
      </w:pPr>
      <w:r w:rsidRPr="00CC3C21">
        <w:rPr>
          <w:sz w:val="19"/>
          <w:szCs w:val="19"/>
        </w:rPr>
        <w:lastRenderedPageBreak/>
        <w:t>If a</w:t>
      </w:r>
      <w:r w:rsidR="00BA1074">
        <w:rPr>
          <w:sz w:val="19"/>
          <w:szCs w:val="19"/>
        </w:rPr>
        <w:t>n adolescent</w:t>
      </w:r>
      <w:r w:rsidRPr="00CC3C21">
        <w:rPr>
          <w:sz w:val="19"/>
          <w:szCs w:val="19"/>
        </w:rPr>
        <w:t xml:space="preserve"> is not attending secondary school </w:t>
      </w:r>
      <w:r w:rsidR="00564D5D" w:rsidRPr="00CC3C21">
        <w:rPr>
          <w:sz w:val="19"/>
          <w:szCs w:val="19"/>
        </w:rPr>
        <w:t xml:space="preserve">or is overdue vaccines, </w:t>
      </w:r>
      <w:r w:rsidRPr="00CC3C21">
        <w:rPr>
          <w:sz w:val="19"/>
          <w:szCs w:val="19"/>
        </w:rPr>
        <w:t>they can receive free vaccine from a GP, local council</w:t>
      </w:r>
      <w:r w:rsidR="00A36AC7">
        <w:rPr>
          <w:sz w:val="19"/>
          <w:szCs w:val="19"/>
        </w:rPr>
        <w:t>,</w:t>
      </w:r>
      <w:r w:rsidRPr="00CC3C21">
        <w:rPr>
          <w:sz w:val="19"/>
          <w:szCs w:val="19"/>
        </w:rPr>
        <w:t xml:space="preserve"> community immunisation service</w:t>
      </w:r>
      <w:r w:rsidR="00A36AC7">
        <w:rPr>
          <w:sz w:val="19"/>
          <w:szCs w:val="19"/>
        </w:rPr>
        <w:t xml:space="preserve"> or</w:t>
      </w:r>
      <w:r w:rsidR="00815DDC">
        <w:rPr>
          <w:sz w:val="19"/>
          <w:szCs w:val="19"/>
        </w:rPr>
        <w:t xml:space="preserve"> </w:t>
      </w:r>
      <w:r w:rsidR="00A36AC7">
        <w:rPr>
          <w:sz w:val="19"/>
          <w:szCs w:val="19"/>
        </w:rPr>
        <w:t>some Pharmacists (for limited vaccines from 15 years of age</w:t>
      </w:r>
      <w:r w:rsidR="00E0289B">
        <w:rPr>
          <w:sz w:val="19"/>
          <w:szCs w:val="19"/>
        </w:rPr>
        <w:t>)</w:t>
      </w:r>
      <w:r w:rsidRPr="00CC3C21">
        <w:rPr>
          <w:sz w:val="19"/>
          <w:szCs w:val="19"/>
        </w:rPr>
        <w:t>.</w:t>
      </w:r>
    </w:p>
    <w:p w14:paraId="631F3F2F" w14:textId="7C084F94" w:rsidR="00B06560" w:rsidRPr="00CC3C21" w:rsidRDefault="0081143C" w:rsidP="00A74EBC">
      <w:pPr>
        <w:pStyle w:val="DHHSbody"/>
        <w:jc w:val="both"/>
      </w:pPr>
      <w:r w:rsidRPr="00CC3C21">
        <w:t>C</w:t>
      </w:r>
      <w:r w:rsidR="00B06560" w:rsidRPr="00CC3C21">
        <w:t xml:space="preserve">atch-up vaccination </w:t>
      </w:r>
    </w:p>
    <w:p w14:paraId="631F3F30" w14:textId="77777777" w:rsidR="00D11BCA" w:rsidRDefault="00B06560" w:rsidP="00726CDB">
      <w:pPr>
        <w:spacing w:after="120" w:line="27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Catch up i</w:t>
      </w:r>
      <w:r w:rsidR="00D11BCA">
        <w:rPr>
          <w:rFonts w:ascii="Arial" w:eastAsia="Times New Roman" w:hAnsi="Arial" w:cs="Arial"/>
          <w:b/>
        </w:rPr>
        <w:t>mmunisation for children aged less than 10 years</w:t>
      </w:r>
    </w:p>
    <w:p w14:paraId="631F3F31" w14:textId="7C5F985E" w:rsidR="00D11BCA" w:rsidRPr="00CC3C21" w:rsidRDefault="00B06560" w:rsidP="007E5F0B">
      <w:pPr>
        <w:pStyle w:val="DHHSbody"/>
        <w:rPr>
          <w:sz w:val="19"/>
          <w:szCs w:val="19"/>
        </w:rPr>
      </w:pPr>
      <w:r w:rsidRPr="00CC3C21">
        <w:rPr>
          <w:sz w:val="19"/>
          <w:szCs w:val="19"/>
        </w:rPr>
        <w:t>For children with no vaccine history or a partial history of vaccination</w:t>
      </w:r>
      <w:r w:rsidR="00564D5D" w:rsidRPr="00CC3C21">
        <w:rPr>
          <w:sz w:val="19"/>
          <w:szCs w:val="19"/>
        </w:rPr>
        <w:t>, to determine what is required,</w:t>
      </w:r>
      <w:r w:rsidR="00D11BCA" w:rsidRPr="00CC3C21">
        <w:rPr>
          <w:sz w:val="19"/>
          <w:szCs w:val="19"/>
        </w:rPr>
        <w:t xml:space="preserve"> </w:t>
      </w:r>
      <w:r w:rsidRPr="00CC3C21">
        <w:rPr>
          <w:sz w:val="19"/>
          <w:szCs w:val="19"/>
        </w:rPr>
        <w:t>use</w:t>
      </w:r>
      <w:r w:rsidR="00D11BCA" w:rsidRPr="00CC3C21">
        <w:rPr>
          <w:sz w:val="19"/>
          <w:szCs w:val="19"/>
        </w:rPr>
        <w:t xml:space="preserve"> the </w:t>
      </w:r>
      <w:r w:rsidR="00D27041" w:rsidRPr="00CC3C21">
        <w:rPr>
          <w:sz w:val="19"/>
          <w:szCs w:val="19"/>
        </w:rPr>
        <w:t>Immunisation C</w:t>
      </w:r>
      <w:r w:rsidRPr="00CC3C21">
        <w:rPr>
          <w:sz w:val="19"/>
          <w:szCs w:val="19"/>
        </w:rPr>
        <w:t>alculator</w:t>
      </w:r>
      <w:r w:rsidR="007E5F0B">
        <w:rPr>
          <w:sz w:val="19"/>
          <w:szCs w:val="19"/>
        </w:rPr>
        <w:t xml:space="preserve">: </w:t>
      </w:r>
      <w:r w:rsidR="00D11BCA" w:rsidRPr="00CC3C21">
        <w:rPr>
          <w:sz w:val="19"/>
          <w:szCs w:val="19"/>
        </w:rPr>
        <w:t xml:space="preserve"> </w:t>
      </w:r>
      <w:hyperlink r:id="rId18" w:history="1">
        <w:r w:rsidR="00774870" w:rsidRPr="00473CE8">
          <w:rPr>
            <w:color w:val="0000FF"/>
            <w:u w:val="single"/>
          </w:rPr>
          <w:t>https://immunisationhandbook.health.gov.au/catch-up-calculator/calculator</w:t>
        </w:r>
      </w:hyperlink>
    </w:p>
    <w:p w14:paraId="631F3F32" w14:textId="77777777" w:rsidR="00FF09CC" w:rsidRPr="00CC3C21" w:rsidRDefault="00FF09CC" w:rsidP="00726CDB">
      <w:pPr>
        <w:pStyle w:val="DHHSbody"/>
        <w:jc w:val="both"/>
        <w:rPr>
          <w:sz w:val="19"/>
          <w:szCs w:val="19"/>
        </w:rPr>
      </w:pPr>
      <w:r w:rsidRPr="00CC3C21">
        <w:rPr>
          <w:sz w:val="19"/>
          <w:szCs w:val="19"/>
        </w:rPr>
        <w:t xml:space="preserve">All catch-up vaccines are free regardless of Medicare status and should be reported to the </w:t>
      </w:r>
      <w:r w:rsidR="005949D8" w:rsidRPr="00CC3C21">
        <w:rPr>
          <w:sz w:val="19"/>
          <w:szCs w:val="19"/>
        </w:rPr>
        <w:t>AIR</w:t>
      </w:r>
      <w:r w:rsidRPr="00CC3C21">
        <w:rPr>
          <w:sz w:val="19"/>
          <w:szCs w:val="19"/>
        </w:rPr>
        <w:t>.</w:t>
      </w:r>
    </w:p>
    <w:p w14:paraId="631F3F33" w14:textId="77777777" w:rsidR="006B5D82" w:rsidRDefault="006B5D82" w:rsidP="00726CDB">
      <w:pPr>
        <w:spacing w:after="120" w:line="270" w:lineRule="atLeast"/>
        <w:jc w:val="both"/>
        <w:rPr>
          <w:rFonts w:ascii="Arial" w:eastAsia="Times New Roman" w:hAnsi="Arial" w:cs="Arial"/>
          <w:b/>
        </w:rPr>
      </w:pPr>
    </w:p>
    <w:p w14:paraId="631F3F36" w14:textId="744EA33E" w:rsidR="00D11BCA" w:rsidRPr="00CE2F85" w:rsidRDefault="00D11BCA" w:rsidP="00726CDB">
      <w:pPr>
        <w:spacing w:after="120" w:line="27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Catch up immunisation information for children aged </w:t>
      </w:r>
      <w:r w:rsidR="00FF09CC">
        <w:rPr>
          <w:rFonts w:ascii="Arial" w:eastAsia="Times New Roman" w:hAnsi="Arial" w:cs="Arial"/>
          <w:b/>
        </w:rPr>
        <w:t>from 10 to 19</w:t>
      </w:r>
      <w:r>
        <w:rPr>
          <w:rFonts w:ascii="Arial" w:eastAsia="Times New Roman" w:hAnsi="Arial" w:cs="Arial"/>
          <w:b/>
        </w:rPr>
        <w:t xml:space="preserve"> years</w:t>
      </w:r>
    </w:p>
    <w:p w14:paraId="7F8846F8" w14:textId="77777777" w:rsidR="008E05E0" w:rsidRPr="00861C5B" w:rsidRDefault="00B06560" w:rsidP="006C1981">
      <w:pPr>
        <w:spacing w:after="120" w:line="270" w:lineRule="atLeast"/>
        <w:rPr>
          <w:rFonts w:ascii="Arial" w:eastAsia="Times" w:hAnsi="Arial"/>
          <w:sz w:val="20"/>
          <w:szCs w:val="20"/>
        </w:rPr>
      </w:pPr>
      <w:r w:rsidRPr="00861C5B">
        <w:rPr>
          <w:rFonts w:ascii="Arial" w:eastAsia="Times" w:hAnsi="Arial"/>
          <w:sz w:val="20"/>
          <w:szCs w:val="20"/>
        </w:rPr>
        <w:t xml:space="preserve">For children </w:t>
      </w:r>
      <w:r w:rsidR="006B5D82" w:rsidRPr="00861C5B">
        <w:rPr>
          <w:rFonts w:ascii="Arial" w:eastAsia="Times" w:hAnsi="Arial"/>
          <w:sz w:val="20"/>
          <w:szCs w:val="20"/>
        </w:rPr>
        <w:t xml:space="preserve">from 10 to 19 years of age </w:t>
      </w:r>
      <w:r w:rsidRPr="00861C5B">
        <w:rPr>
          <w:rFonts w:ascii="Arial" w:eastAsia="Times" w:hAnsi="Arial"/>
          <w:sz w:val="20"/>
          <w:szCs w:val="20"/>
        </w:rPr>
        <w:t>with no vaccine history</w:t>
      </w:r>
      <w:r w:rsidR="006B5D82" w:rsidRPr="00861C5B">
        <w:rPr>
          <w:rFonts w:ascii="Arial" w:eastAsia="Times" w:hAnsi="Arial"/>
          <w:sz w:val="20"/>
          <w:szCs w:val="20"/>
        </w:rPr>
        <w:t>:</w:t>
      </w:r>
      <w:r w:rsidR="00D11BCA" w:rsidRPr="00861C5B">
        <w:rPr>
          <w:rFonts w:ascii="Arial" w:eastAsia="Times" w:hAnsi="Arial"/>
          <w:sz w:val="20"/>
          <w:szCs w:val="20"/>
        </w:rPr>
        <w:t xml:space="preserve"> </w:t>
      </w:r>
      <w:hyperlink r:id="rId19" w:history="1">
        <w:r w:rsidR="004B4843" w:rsidRPr="00861C5B">
          <w:rPr>
            <w:color w:val="0000FF"/>
            <w:sz w:val="20"/>
            <w:szCs w:val="20"/>
            <w:u w:val="single"/>
          </w:rPr>
          <w:t>https://www2.health.vic.gov.au/about/publications/factsheets/vic-immunisation-catch-up-guidelines</w:t>
        </w:r>
      </w:hyperlink>
      <w:r w:rsidR="006C1981" w:rsidRPr="00861C5B">
        <w:rPr>
          <w:rFonts w:ascii="Arial" w:eastAsia="Times" w:hAnsi="Arial"/>
          <w:sz w:val="20"/>
          <w:szCs w:val="20"/>
        </w:rPr>
        <w:t xml:space="preserve"> </w:t>
      </w:r>
    </w:p>
    <w:p w14:paraId="7BA2BF7C" w14:textId="1893F770" w:rsidR="006C1981" w:rsidRPr="00861C5B" w:rsidRDefault="006C1981" w:rsidP="006C1981">
      <w:pPr>
        <w:spacing w:after="120" w:line="270" w:lineRule="atLeast"/>
        <w:rPr>
          <w:rFonts w:ascii="Arial" w:eastAsia="Times" w:hAnsi="Arial"/>
          <w:sz w:val="20"/>
          <w:szCs w:val="20"/>
        </w:rPr>
      </w:pPr>
      <w:r w:rsidRPr="00861C5B">
        <w:rPr>
          <w:rFonts w:ascii="Arial" w:eastAsia="Times" w:hAnsi="Arial"/>
          <w:sz w:val="20"/>
          <w:szCs w:val="20"/>
        </w:rPr>
        <w:t xml:space="preserve">For children from 10 to 19 years of age with a partial history of vaccination use the catch-up tables in the online Australian Immunisation Handbook and contact the Immunisation Section for further assistance. </w:t>
      </w:r>
    </w:p>
    <w:p w14:paraId="6C5B08C7" w14:textId="77777777" w:rsidR="005C5DB9" w:rsidRDefault="006C1981" w:rsidP="005C5DB9">
      <w:pPr>
        <w:spacing w:after="120" w:line="270" w:lineRule="atLeast"/>
        <w:rPr>
          <w:rFonts w:ascii="Arial" w:eastAsia="Times New Roman" w:hAnsi="Arial" w:cs="Arial"/>
          <w:sz w:val="20"/>
          <w:szCs w:val="20"/>
          <w:lang w:eastAsia="en-AU"/>
        </w:rPr>
      </w:pPr>
      <w:r w:rsidRPr="00861C5B">
        <w:rPr>
          <w:rFonts w:ascii="Arial" w:eastAsia="Times" w:hAnsi="Arial"/>
          <w:sz w:val="20"/>
          <w:szCs w:val="20"/>
        </w:rPr>
        <w:t>All catch-up vaccines are free regardless of Medicare status and should be reported to the AIR.</w:t>
      </w:r>
      <w:r w:rsidRPr="00861C5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53E44BC2" w14:textId="77777777" w:rsidR="00FA3156" w:rsidRPr="00FA3156" w:rsidRDefault="00FA3156" w:rsidP="00FA3156">
      <w:pPr>
        <w:spacing w:after="120" w:line="270" w:lineRule="atLeast"/>
        <w:rPr>
          <w:rFonts w:ascii="Arial" w:eastAsia="Times" w:hAnsi="Arial"/>
          <w:b/>
          <w:bCs/>
          <w:sz w:val="20"/>
          <w:szCs w:val="20"/>
        </w:rPr>
      </w:pPr>
      <w:r w:rsidRPr="00FA3156">
        <w:rPr>
          <w:rFonts w:ascii="Arial" w:eastAsia="Times" w:hAnsi="Arial"/>
          <w:b/>
          <w:bCs/>
          <w:sz w:val="20"/>
          <w:szCs w:val="20"/>
        </w:rPr>
        <w:t xml:space="preserve">Further catch-up information: </w:t>
      </w:r>
    </w:p>
    <w:p w14:paraId="783B3368" w14:textId="77777777" w:rsidR="00FA3156" w:rsidRPr="00861C5B" w:rsidRDefault="00A74EBC" w:rsidP="00FA3156">
      <w:pPr>
        <w:spacing w:after="120" w:line="270" w:lineRule="atLeast"/>
        <w:rPr>
          <w:rFonts w:ascii="Arial" w:eastAsia="Times" w:hAnsi="Arial"/>
          <w:sz w:val="20"/>
          <w:szCs w:val="20"/>
        </w:rPr>
      </w:pPr>
      <w:hyperlink r:id="rId20" w:history="1">
        <w:r w:rsidR="00FA3156" w:rsidRPr="00C96726">
          <w:rPr>
            <w:rStyle w:val="Hyperlink"/>
            <w:rFonts w:ascii="Arial" w:eastAsia="Times" w:hAnsi="Arial"/>
            <w:sz w:val="20"/>
            <w:szCs w:val="20"/>
          </w:rPr>
          <w:t>http://www.mvec.vic.edu.au/immunisation-references/catch-up-immunisations</w:t>
        </w:r>
      </w:hyperlink>
    </w:p>
    <w:p w14:paraId="12301D23" w14:textId="77777777" w:rsidR="00FA3156" w:rsidRDefault="00A74EBC" w:rsidP="00FA3156">
      <w:pPr>
        <w:pStyle w:val="DHHSbody"/>
        <w:rPr>
          <w:rFonts w:eastAsia="MS Gothic"/>
          <w:b/>
          <w:bCs/>
          <w:sz w:val="22"/>
          <w:szCs w:val="22"/>
        </w:rPr>
      </w:pPr>
      <w:hyperlink r:id="rId21" w:history="1">
        <w:r w:rsidR="00FA3156" w:rsidRPr="00861C5B">
          <w:rPr>
            <w:color w:val="0000FF"/>
            <w:u w:val="single"/>
          </w:rPr>
          <w:t>https://www.health.gov.au/health-topics/immunisation/health-professionals/catch-up-immunisations</w:t>
        </w:r>
      </w:hyperlink>
    </w:p>
    <w:p w14:paraId="631F3F3B" w14:textId="2C4BA08D" w:rsidR="00726CDB" w:rsidRPr="00726CDB" w:rsidRDefault="00726CDB" w:rsidP="005C5DB9">
      <w:pPr>
        <w:spacing w:after="120" w:line="270" w:lineRule="atLeast"/>
        <w:rPr>
          <w:rFonts w:ascii="Arial" w:eastAsia="Times New Roman" w:hAnsi="Arial" w:cs="Arial"/>
          <w:b/>
        </w:rPr>
      </w:pPr>
      <w:r w:rsidRPr="00726CDB">
        <w:rPr>
          <w:rFonts w:ascii="Arial" w:eastAsia="Times New Roman" w:hAnsi="Arial" w:cs="Arial"/>
          <w:b/>
        </w:rPr>
        <w:t>Acceptable documentation for childcare/kindergarten and primary school entry</w:t>
      </w:r>
    </w:p>
    <w:p w14:paraId="631F3F3C" w14:textId="694B9FF0" w:rsidR="006B5D82" w:rsidRPr="00861C5B" w:rsidRDefault="00726CDB" w:rsidP="00726CDB">
      <w:pPr>
        <w:pStyle w:val="DHHSbody"/>
      </w:pPr>
      <w:r w:rsidRPr="00861C5B">
        <w:t>From February 2018 the only acceptable documentation for childcare/kindergarten</w:t>
      </w:r>
      <w:r w:rsidR="00E822F2" w:rsidRPr="00861C5B">
        <w:t xml:space="preserve"> and primary school</w:t>
      </w:r>
      <w:r w:rsidRPr="00861C5B">
        <w:t xml:space="preserve"> entry is an </w:t>
      </w:r>
      <w:r w:rsidRPr="00861C5B">
        <w:rPr>
          <w:i/>
        </w:rPr>
        <w:t>Immunisation History Statement</w:t>
      </w:r>
      <w:r w:rsidRPr="00861C5B">
        <w:t xml:space="preserve"> from the AIR.  </w:t>
      </w:r>
    </w:p>
    <w:p w14:paraId="631F3F3D" w14:textId="77777777" w:rsidR="006B5D82" w:rsidRPr="00861C5B" w:rsidRDefault="00726CDB" w:rsidP="00726CDB">
      <w:pPr>
        <w:pStyle w:val="DHHSbody"/>
      </w:pPr>
      <w:r w:rsidRPr="00861C5B">
        <w:t xml:space="preserve">Homeopathic vaccines are not considered valid. </w:t>
      </w:r>
    </w:p>
    <w:p w14:paraId="631F3F3E" w14:textId="77777777" w:rsidR="00726CDB" w:rsidRDefault="00133608" w:rsidP="00726CDB">
      <w:pPr>
        <w:pStyle w:val="DHHSbody"/>
        <w:rPr>
          <w:rFonts w:eastAsia="Times New Roman"/>
          <w:b/>
        </w:rPr>
      </w:pPr>
      <w:r>
        <w:t>Children in out-of-home care are eligible for the ‘Grace period’ which allows the child to enrol and commence childc</w:t>
      </w:r>
      <w:bookmarkStart w:id="0" w:name="_GoBack"/>
      <w:bookmarkEnd w:id="0"/>
      <w:r>
        <w:t xml:space="preserve">are or kindergarten whilst documentation is </w:t>
      </w:r>
      <w:r>
        <w:t>accessed or catch-up vaccines are initiated. (Link to further information regarding the ‘</w:t>
      </w:r>
      <w:hyperlink r:id="rId22" w:history="1">
        <w:r>
          <w:rPr>
            <w:rStyle w:val="Hyperlink"/>
          </w:rPr>
          <w:t>Grace period eligibility</w:t>
        </w:r>
      </w:hyperlink>
      <w:r>
        <w:t xml:space="preserve">’). </w:t>
      </w:r>
    </w:p>
    <w:p w14:paraId="6B60828A" w14:textId="77777777" w:rsidR="000B0474" w:rsidRDefault="000B0474" w:rsidP="00726CDB">
      <w:pPr>
        <w:pStyle w:val="DHHSbody"/>
        <w:rPr>
          <w:rFonts w:eastAsia="MS Gothic"/>
          <w:b/>
          <w:bCs/>
          <w:sz w:val="22"/>
          <w:szCs w:val="22"/>
        </w:rPr>
      </w:pPr>
    </w:p>
    <w:p w14:paraId="631F3F3F" w14:textId="33DAC912" w:rsidR="00726CDB" w:rsidRPr="00861C5B" w:rsidRDefault="00726CDB" w:rsidP="00726CDB">
      <w:pPr>
        <w:pStyle w:val="DHHSbody"/>
        <w:rPr>
          <w:rFonts w:eastAsia="MS Gothic"/>
          <w:b/>
          <w:bCs/>
          <w:sz w:val="22"/>
          <w:szCs w:val="22"/>
        </w:rPr>
      </w:pPr>
      <w:r w:rsidRPr="00861C5B">
        <w:rPr>
          <w:rFonts w:eastAsia="MS Gothic"/>
          <w:b/>
          <w:bCs/>
          <w:sz w:val="22"/>
          <w:szCs w:val="22"/>
        </w:rPr>
        <w:t>Further information</w:t>
      </w:r>
    </w:p>
    <w:p w14:paraId="631F3F40" w14:textId="77777777" w:rsidR="00726CDB" w:rsidRPr="00861C5B" w:rsidRDefault="00726CDB" w:rsidP="00726CDB">
      <w:pPr>
        <w:pStyle w:val="DHHSbody"/>
        <w:numPr>
          <w:ilvl w:val="0"/>
          <w:numId w:val="12"/>
        </w:numPr>
      </w:pPr>
      <w:r w:rsidRPr="00861C5B">
        <w:t xml:space="preserve">Immunisation Section – Department of Health and Human Services </w:t>
      </w:r>
    </w:p>
    <w:p w14:paraId="631F3F41" w14:textId="77777777" w:rsidR="00726CDB" w:rsidRPr="00861C5B" w:rsidRDefault="00726CDB" w:rsidP="00363838">
      <w:pPr>
        <w:pStyle w:val="DHHSbody"/>
        <w:ind w:left="720"/>
      </w:pPr>
      <w:r w:rsidRPr="00861C5B">
        <w:t xml:space="preserve">Email - </w:t>
      </w:r>
      <w:hyperlink r:id="rId23" w:history="1">
        <w:r w:rsidRPr="00861C5B">
          <w:t>Immunisation@dhhs.vic.gov.au</w:t>
        </w:r>
      </w:hyperlink>
      <w:r w:rsidRPr="00861C5B">
        <w:t xml:space="preserve">     Phone - 1300 882 008 (9am to 12 md,  2pm to 3pm</w:t>
      </w:r>
      <w:r w:rsidR="00E822F2" w:rsidRPr="00861C5B">
        <w:t>,</w:t>
      </w:r>
      <w:r w:rsidRPr="00861C5B">
        <w:t xml:space="preserve"> M </w:t>
      </w:r>
      <w:r w:rsidR="00E822F2" w:rsidRPr="00861C5B">
        <w:t xml:space="preserve">to </w:t>
      </w:r>
      <w:r w:rsidRPr="00861C5B">
        <w:t xml:space="preserve"> F)</w:t>
      </w:r>
    </w:p>
    <w:p w14:paraId="312482D8" w14:textId="20500EDA" w:rsidR="000115F1" w:rsidRPr="00861C5B" w:rsidRDefault="000115F1" w:rsidP="000115F1">
      <w:pPr>
        <w:spacing w:after="120" w:line="270" w:lineRule="atLeast"/>
        <w:ind w:left="720"/>
        <w:rPr>
          <w:rFonts w:ascii="Arial" w:eastAsia="Times" w:hAnsi="Arial"/>
          <w:sz w:val="20"/>
          <w:szCs w:val="20"/>
        </w:rPr>
      </w:pPr>
    </w:p>
    <w:p w14:paraId="7100A5E7" w14:textId="5EA96077" w:rsidR="00184FF0" w:rsidRPr="00A74EBC" w:rsidRDefault="00726CDB" w:rsidP="00A74EBC">
      <w:pPr>
        <w:spacing w:after="120" w:line="270" w:lineRule="atLeast"/>
        <w:ind w:left="360"/>
        <w:rPr>
          <w:rFonts w:ascii="Arial" w:eastAsia="Times" w:hAnsi="Arial"/>
          <w:sz w:val="19"/>
          <w:szCs w:val="19"/>
        </w:rPr>
      </w:pPr>
      <w:r w:rsidRPr="00726CDB">
        <w:rPr>
          <w:rFonts w:ascii="Arial" w:eastAsia="Times" w:hAnsi="Arial"/>
          <w:sz w:val="19"/>
          <w:szCs w:val="19"/>
        </w:rPr>
        <w:t xml:space="preserve">Authorised and published by the Victorian Government, 1 Treasury Place Melbourne, </w:t>
      </w:r>
      <w:r w:rsidR="00A74EBC">
        <w:rPr>
          <w:rFonts w:ascii="Arial" w:eastAsia="Times" w:hAnsi="Arial"/>
          <w:sz w:val="19"/>
          <w:szCs w:val="19"/>
        </w:rPr>
        <w:t xml:space="preserve">September </w:t>
      </w:r>
      <w:r w:rsidR="002326D5">
        <w:rPr>
          <w:rFonts w:ascii="Arial" w:eastAsia="Times" w:hAnsi="Arial"/>
          <w:sz w:val="19"/>
          <w:szCs w:val="19"/>
        </w:rPr>
        <w:t>2020</w:t>
      </w:r>
    </w:p>
    <w:sectPr w:rsidR="00184FF0" w:rsidRPr="00A74EBC" w:rsidSect="005C5DB9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97A9" w14:textId="77777777" w:rsidR="00D33CCA" w:rsidRDefault="00D33CCA">
      <w:r>
        <w:separator/>
      </w:r>
    </w:p>
  </w:endnote>
  <w:endnote w:type="continuationSeparator" w:id="0">
    <w:p w14:paraId="0A9F19EE" w14:textId="77777777" w:rsidR="00D33CCA" w:rsidRDefault="00D3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3D73C" w14:textId="77777777" w:rsidR="00A74EBC" w:rsidRDefault="00A7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3F50" w14:textId="77777777" w:rsidR="009D70A4" w:rsidRPr="00F65AA9" w:rsidRDefault="00BC3408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31F3F53" wp14:editId="631F3F54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BCA"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4090" w14:textId="77777777" w:rsidR="00A74EBC" w:rsidRDefault="00A74E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3F52" w14:textId="39FA8BC8" w:rsidR="009D70A4" w:rsidRPr="00A11421" w:rsidRDefault="00A74EBC" w:rsidP="0051568D">
    <w:pPr>
      <w:pStyle w:val="DHHSfooter"/>
    </w:pPr>
    <w:r>
      <w:t xml:space="preserve">September </w:t>
    </w:r>
    <w:r w:rsidR="003C29B2">
      <w:t>2020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47749D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7E069" w14:textId="77777777" w:rsidR="00D33CCA" w:rsidRDefault="00D33CCA" w:rsidP="002862F1">
      <w:pPr>
        <w:spacing w:before="120"/>
      </w:pPr>
      <w:r>
        <w:separator/>
      </w:r>
    </w:p>
  </w:footnote>
  <w:footnote w:type="continuationSeparator" w:id="0">
    <w:p w14:paraId="62B18BD0" w14:textId="77777777" w:rsidR="00D33CCA" w:rsidRDefault="00D33CCA">
      <w:r>
        <w:continuationSeparator/>
      </w:r>
    </w:p>
  </w:footnote>
  <w:footnote w:id="1">
    <w:p w14:paraId="16C0A99E" w14:textId="4E271AFF" w:rsidR="00B54EF6" w:rsidRDefault="00B54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4A4A4A"/>
          <w:sz w:val="12"/>
          <w:szCs w:val="12"/>
        </w:rPr>
        <w:t>young people can be deemed to be able to provide consent for their own treatment if they meet the ‘mature minor’ or ‘Gillick principle’.</w:t>
      </w:r>
    </w:p>
  </w:footnote>
  <w:footnote w:id="2">
    <w:p w14:paraId="341966F2" w14:textId="3180270C" w:rsidR="00815DDC" w:rsidRDefault="00815D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4EBC">
        <w:rPr>
          <w:color w:val="4A4A4A"/>
          <w:sz w:val="12"/>
          <w:szCs w:val="12"/>
        </w:rPr>
        <w:t>Health Professional Online Services</w:t>
      </w:r>
      <w:r w:rsidRPr="005D1503">
        <w:rPr>
          <w:rFonts w:eastAsia="Times" w:cs="Times New Roman"/>
          <w:sz w:val="19"/>
          <w:szCs w:val="19"/>
        </w:rPr>
        <w:t> </w:t>
      </w:r>
      <w:r w:rsidRPr="00726CDB" w:rsidDel="00FC7281">
        <w:rPr>
          <w:rFonts w:eastAsia="Times"/>
          <w:sz w:val="19"/>
          <w:szCs w:val="19"/>
        </w:rPr>
        <w:t xml:space="preserve"> </w:t>
      </w:r>
      <w:r w:rsidRPr="00726CDB">
        <w:rPr>
          <w:rFonts w:eastAsia="Times"/>
          <w:sz w:val="19"/>
          <w:szCs w:val="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27B8" w14:textId="77777777" w:rsidR="00A74EBC" w:rsidRDefault="00A7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D9AA" w14:textId="77777777" w:rsidR="00A74EBC" w:rsidRDefault="00A74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333D" w14:textId="77777777" w:rsidR="00A74EBC" w:rsidRDefault="00A74E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3F51" w14:textId="77777777" w:rsidR="009D70A4" w:rsidRPr="00D11BCA" w:rsidRDefault="009D70A4" w:rsidP="00D11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C3563E7"/>
    <w:multiLevelType w:val="hybridMultilevel"/>
    <w:tmpl w:val="8F16D01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75F6459"/>
    <w:multiLevelType w:val="hybridMultilevel"/>
    <w:tmpl w:val="D6B0C32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43649C"/>
    <w:multiLevelType w:val="hybridMultilevel"/>
    <w:tmpl w:val="E31AD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503D75AC"/>
    <w:multiLevelType w:val="hybridMultilevel"/>
    <w:tmpl w:val="4ACA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3956758"/>
    <w:multiLevelType w:val="hybridMultilevel"/>
    <w:tmpl w:val="BB9CE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71FE"/>
    <w:multiLevelType w:val="hybridMultilevel"/>
    <w:tmpl w:val="B7B87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  <w:num w:numId="15">
    <w:abstractNumId w:val="8"/>
  </w:num>
  <w:num w:numId="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BCA"/>
    <w:rsid w:val="000072B6"/>
    <w:rsid w:val="0001021B"/>
    <w:rsid w:val="000115F1"/>
    <w:rsid w:val="00011D89"/>
    <w:rsid w:val="00014C47"/>
    <w:rsid w:val="00024D89"/>
    <w:rsid w:val="000250B6"/>
    <w:rsid w:val="00033D81"/>
    <w:rsid w:val="0004155B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75AB1"/>
    <w:rsid w:val="0009113B"/>
    <w:rsid w:val="00094DA3"/>
    <w:rsid w:val="00096CD1"/>
    <w:rsid w:val="000A012C"/>
    <w:rsid w:val="000A0EB9"/>
    <w:rsid w:val="000A186C"/>
    <w:rsid w:val="000A6666"/>
    <w:rsid w:val="000B0474"/>
    <w:rsid w:val="000B543D"/>
    <w:rsid w:val="000B5BF7"/>
    <w:rsid w:val="000B6BC8"/>
    <w:rsid w:val="000B7BF3"/>
    <w:rsid w:val="000C42EA"/>
    <w:rsid w:val="000C4546"/>
    <w:rsid w:val="000C4BC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268E"/>
    <w:rsid w:val="00133608"/>
    <w:rsid w:val="001447B3"/>
    <w:rsid w:val="00144FA1"/>
    <w:rsid w:val="00152073"/>
    <w:rsid w:val="00156C5E"/>
    <w:rsid w:val="00161939"/>
    <w:rsid w:val="00161AA0"/>
    <w:rsid w:val="00162093"/>
    <w:rsid w:val="001771DD"/>
    <w:rsid w:val="00177995"/>
    <w:rsid w:val="00177A8C"/>
    <w:rsid w:val="00184FF0"/>
    <w:rsid w:val="00186B33"/>
    <w:rsid w:val="00187712"/>
    <w:rsid w:val="00192F9D"/>
    <w:rsid w:val="00196EB8"/>
    <w:rsid w:val="00196EFB"/>
    <w:rsid w:val="001979FF"/>
    <w:rsid w:val="00197B17"/>
    <w:rsid w:val="001A3ACE"/>
    <w:rsid w:val="001A58F2"/>
    <w:rsid w:val="001B43FC"/>
    <w:rsid w:val="001C26AB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26D5"/>
    <w:rsid w:val="002333F5"/>
    <w:rsid w:val="00233724"/>
    <w:rsid w:val="00235A37"/>
    <w:rsid w:val="002432E1"/>
    <w:rsid w:val="00246207"/>
    <w:rsid w:val="00246C5E"/>
    <w:rsid w:val="00251343"/>
    <w:rsid w:val="002543FF"/>
    <w:rsid w:val="00254F58"/>
    <w:rsid w:val="00260B6A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37F"/>
    <w:rsid w:val="0029597D"/>
    <w:rsid w:val="002962C3"/>
    <w:rsid w:val="0029752B"/>
    <w:rsid w:val="002A04E5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5B1"/>
    <w:rsid w:val="002E6C95"/>
    <w:rsid w:val="002E7C36"/>
    <w:rsid w:val="002F4F7E"/>
    <w:rsid w:val="002F5F31"/>
    <w:rsid w:val="002F5F46"/>
    <w:rsid w:val="002F765B"/>
    <w:rsid w:val="00302216"/>
    <w:rsid w:val="00303E53"/>
    <w:rsid w:val="00306E5F"/>
    <w:rsid w:val="00307E14"/>
    <w:rsid w:val="00314054"/>
    <w:rsid w:val="00316F27"/>
    <w:rsid w:val="00327870"/>
    <w:rsid w:val="0033259D"/>
    <w:rsid w:val="00335C48"/>
    <w:rsid w:val="003406C6"/>
    <w:rsid w:val="003418CC"/>
    <w:rsid w:val="003459BD"/>
    <w:rsid w:val="00350D38"/>
    <w:rsid w:val="00351B36"/>
    <w:rsid w:val="00357B4E"/>
    <w:rsid w:val="00363838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29B2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CE8"/>
    <w:rsid w:val="004743DD"/>
    <w:rsid w:val="00474A08"/>
    <w:rsid w:val="00474CEA"/>
    <w:rsid w:val="0047749D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A7497"/>
    <w:rsid w:val="004B3529"/>
    <w:rsid w:val="004B4843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3926"/>
    <w:rsid w:val="004F55F1"/>
    <w:rsid w:val="004F6936"/>
    <w:rsid w:val="00503DC6"/>
    <w:rsid w:val="00506F5D"/>
    <w:rsid w:val="005126D0"/>
    <w:rsid w:val="005142C6"/>
    <w:rsid w:val="0051568D"/>
    <w:rsid w:val="00526C15"/>
    <w:rsid w:val="00536499"/>
    <w:rsid w:val="00543903"/>
    <w:rsid w:val="00543F11"/>
    <w:rsid w:val="00547A95"/>
    <w:rsid w:val="00560F1E"/>
    <w:rsid w:val="00564D5D"/>
    <w:rsid w:val="00572031"/>
    <w:rsid w:val="00576E84"/>
    <w:rsid w:val="00582B8C"/>
    <w:rsid w:val="0058757E"/>
    <w:rsid w:val="005949D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C5DB9"/>
    <w:rsid w:val="005D07B8"/>
    <w:rsid w:val="005D6597"/>
    <w:rsid w:val="005E14E7"/>
    <w:rsid w:val="005E26A3"/>
    <w:rsid w:val="005E447E"/>
    <w:rsid w:val="005E7CFE"/>
    <w:rsid w:val="005F0775"/>
    <w:rsid w:val="005F0CF5"/>
    <w:rsid w:val="005F21EB"/>
    <w:rsid w:val="00604D67"/>
    <w:rsid w:val="00605908"/>
    <w:rsid w:val="00610D7C"/>
    <w:rsid w:val="00613414"/>
    <w:rsid w:val="00614EDD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9510E"/>
    <w:rsid w:val="006A18C2"/>
    <w:rsid w:val="006A300E"/>
    <w:rsid w:val="006B077C"/>
    <w:rsid w:val="006B5D82"/>
    <w:rsid w:val="006B6803"/>
    <w:rsid w:val="006C1981"/>
    <w:rsid w:val="006D2A3F"/>
    <w:rsid w:val="006D2FBC"/>
    <w:rsid w:val="006E138B"/>
    <w:rsid w:val="006F1FDC"/>
    <w:rsid w:val="007013EF"/>
    <w:rsid w:val="007173CA"/>
    <w:rsid w:val="007202DC"/>
    <w:rsid w:val="007216AA"/>
    <w:rsid w:val="00721AB5"/>
    <w:rsid w:val="00721DEF"/>
    <w:rsid w:val="00724A43"/>
    <w:rsid w:val="00725ED2"/>
    <w:rsid w:val="00726CDB"/>
    <w:rsid w:val="0073277E"/>
    <w:rsid w:val="007346E4"/>
    <w:rsid w:val="00740F22"/>
    <w:rsid w:val="00741F1A"/>
    <w:rsid w:val="007450F8"/>
    <w:rsid w:val="0074696E"/>
    <w:rsid w:val="00750135"/>
    <w:rsid w:val="00750EC2"/>
    <w:rsid w:val="00751A9D"/>
    <w:rsid w:val="00752B28"/>
    <w:rsid w:val="00754E36"/>
    <w:rsid w:val="00763139"/>
    <w:rsid w:val="00770F37"/>
    <w:rsid w:val="007711A0"/>
    <w:rsid w:val="00772D5E"/>
    <w:rsid w:val="00774870"/>
    <w:rsid w:val="00776928"/>
    <w:rsid w:val="00785677"/>
    <w:rsid w:val="00786F16"/>
    <w:rsid w:val="0079011D"/>
    <w:rsid w:val="00796E20"/>
    <w:rsid w:val="00797C32"/>
    <w:rsid w:val="007A0023"/>
    <w:rsid w:val="007A55FC"/>
    <w:rsid w:val="007B0914"/>
    <w:rsid w:val="007B1374"/>
    <w:rsid w:val="007B2BC8"/>
    <w:rsid w:val="007B589F"/>
    <w:rsid w:val="007B6186"/>
    <w:rsid w:val="007B73BC"/>
    <w:rsid w:val="007C20B9"/>
    <w:rsid w:val="007C20BD"/>
    <w:rsid w:val="007C7301"/>
    <w:rsid w:val="007C7859"/>
    <w:rsid w:val="007D2BDE"/>
    <w:rsid w:val="007D2FB6"/>
    <w:rsid w:val="007D6E2D"/>
    <w:rsid w:val="007E0DE2"/>
    <w:rsid w:val="007E3B98"/>
    <w:rsid w:val="007E5F0B"/>
    <w:rsid w:val="007F31B6"/>
    <w:rsid w:val="007F546C"/>
    <w:rsid w:val="007F625F"/>
    <w:rsid w:val="007F665E"/>
    <w:rsid w:val="00800412"/>
    <w:rsid w:val="0080587B"/>
    <w:rsid w:val="00806468"/>
    <w:rsid w:val="0081143C"/>
    <w:rsid w:val="008155F0"/>
    <w:rsid w:val="00815DDC"/>
    <w:rsid w:val="00816735"/>
    <w:rsid w:val="00820141"/>
    <w:rsid w:val="008207BB"/>
    <w:rsid w:val="00820E0C"/>
    <w:rsid w:val="00825809"/>
    <w:rsid w:val="008338A2"/>
    <w:rsid w:val="00841AA9"/>
    <w:rsid w:val="00853EE4"/>
    <w:rsid w:val="00855535"/>
    <w:rsid w:val="00861C5B"/>
    <w:rsid w:val="0086255E"/>
    <w:rsid w:val="008633F0"/>
    <w:rsid w:val="00867D9D"/>
    <w:rsid w:val="00872E0A"/>
    <w:rsid w:val="008746B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1A06"/>
    <w:rsid w:val="008C2F92"/>
    <w:rsid w:val="008D2846"/>
    <w:rsid w:val="008D4236"/>
    <w:rsid w:val="008D462F"/>
    <w:rsid w:val="008D6DCF"/>
    <w:rsid w:val="008E05E0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36AC7"/>
    <w:rsid w:val="00A44882"/>
    <w:rsid w:val="00A54715"/>
    <w:rsid w:val="00A548F1"/>
    <w:rsid w:val="00A6061C"/>
    <w:rsid w:val="00A62D44"/>
    <w:rsid w:val="00A67263"/>
    <w:rsid w:val="00A7161C"/>
    <w:rsid w:val="00A74EBC"/>
    <w:rsid w:val="00A77892"/>
    <w:rsid w:val="00A77AA3"/>
    <w:rsid w:val="00A854EB"/>
    <w:rsid w:val="00A872E5"/>
    <w:rsid w:val="00A91406"/>
    <w:rsid w:val="00A91950"/>
    <w:rsid w:val="00A96E65"/>
    <w:rsid w:val="00A97C72"/>
    <w:rsid w:val="00AA63D4"/>
    <w:rsid w:val="00AA71E7"/>
    <w:rsid w:val="00AB06E8"/>
    <w:rsid w:val="00AB1CD3"/>
    <w:rsid w:val="00AB352F"/>
    <w:rsid w:val="00AB38C7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113"/>
    <w:rsid w:val="00B00672"/>
    <w:rsid w:val="00B01B4D"/>
    <w:rsid w:val="00B02A73"/>
    <w:rsid w:val="00B06560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EF6"/>
    <w:rsid w:val="00B57329"/>
    <w:rsid w:val="00B62B50"/>
    <w:rsid w:val="00B6305B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1074"/>
    <w:rsid w:val="00BA3F8D"/>
    <w:rsid w:val="00BB7A10"/>
    <w:rsid w:val="00BC3408"/>
    <w:rsid w:val="00BC7468"/>
    <w:rsid w:val="00BC7D4F"/>
    <w:rsid w:val="00BC7ED7"/>
    <w:rsid w:val="00BD2850"/>
    <w:rsid w:val="00BE28D2"/>
    <w:rsid w:val="00BE4A64"/>
    <w:rsid w:val="00BF0489"/>
    <w:rsid w:val="00BF7F58"/>
    <w:rsid w:val="00C01381"/>
    <w:rsid w:val="00C055EB"/>
    <w:rsid w:val="00C079B8"/>
    <w:rsid w:val="00C123EA"/>
    <w:rsid w:val="00C12627"/>
    <w:rsid w:val="00C12A49"/>
    <w:rsid w:val="00C133EE"/>
    <w:rsid w:val="00C27DE9"/>
    <w:rsid w:val="00C32BB6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BE5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C3C21"/>
    <w:rsid w:val="00CD2C34"/>
    <w:rsid w:val="00CD3476"/>
    <w:rsid w:val="00CD64DF"/>
    <w:rsid w:val="00CE2AF3"/>
    <w:rsid w:val="00CF2F50"/>
    <w:rsid w:val="00D017DD"/>
    <w:rsid w:val="00D02919"/>
    <w:rsid w:val="00D04C61"/>
    <w:rsid w:val="00D05B8D"/>
    <w:rsid w:val="00D065A2"/>
    <w:rsid w:val="00D07F00"/>
    <w:rsid w:val="00D11BCA"/>
    <w:rsid w:val="00D17B72"/>
    <w:rsid w:val="00D223F3"/>
    <w:rsid w:val="00D27041"/>
    <w:rsid w:val="00D27E65"/>
    <w:rsid w:val="00D3185C"/>
    <w:rsid w:val="00D33CCA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2AF4"/>
    <w:rsid w:val="00D75EA7"/>
    <w:rsid w:val="00D81F21"/>
    <w:rsid w:val="00D86485"/>
    <w:rsid w:val="00D927FE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6461"/>
    <w:rsid w:val="00DE78A3"/>
    <w:rsid w:val="00DF1A71"/>
    <w:rsid w:val="00DF68C7"/>
    <w:rsid w:val="00DF731A"/>
    <w:rsid w:val="00DF75B0"/>
    <w:rsid w:val="00E01E2E"/>
    <w:rsid w:val="00E0289B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2F2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068"/>
    <w:rsid w:val="00EE4D5D"/>
    <w:rsid w:val="00EE5131"/>
    <w:rsid w:val="00EF109B"/>
    <w:rsid w:val="00EF36AF"/>
    <w:rsid w:val="00F00F9C"/>
    <w:rsid w:val="00F01E5F"/>
    <w:rsid w:val="00F02ABA"/>
    <w:rsid w:val="00F0437A"/>
    <w:rsid w:val="00F10783"/>
    <w:rsid w:val="00F11037"/>
    <w:rsid w:val="00F16F1B"/>
    <w:rsid w:val="00F250A9"/>
    <w:rsid w:val="00F302A8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04E"/>
    <w:rsid w:val="00F6768F"/>
    <w:rsid w:val="00F72C2C"/>
    <w:rsid w:val="00F76CAB"/>
    <w:rsid w:val="00F772C6"/>
    <w:rsid w:val="00F815B5"/>
    <w:rsid w:val="00F81ACA"/>
    <w:rsid w:val="00F85195"/>
    <w:rsid w:val="00F91AEB"/>
    <w:rsid w:val="00F938BA"/>
    <w:rsid w:val="00FA080C"/>
    <w:rsid w:val="00FA2C46"/>
    <w:rsid w:val="00FA3156"/>
    <w:rsid w:val="00FA3525"/>
    <w:rsid w:val="00FB4769"/>
    <w:rsid w:val="00FB4CDA"/>
    <w:rsid w:val="00FC0F81"/>
    <w:rsid w:val="00FC395C"/>
    <w:rsid w:val="00FC7281"/>
    <w:rsid w:val="00FD3766"/>
    <w:rsid w:val="00FD47C4"/>
    <w:rsid w:val="00FE2DCF"/>
    <w:rsid w:val="00FF09CC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31F3F15"/>
  <w15:docId w15:val="{ED86084A-5EBB-47E1-AE12-EED84338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B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uiPriority w:val="99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customStyle="1" w:styleId="DHSbody">
    <w:name w:val="DHS body"/>
    <w:basedOn w:val="Normal"/>
    <w:next w:val="Normal"/>
    <w:uiPriority w:val="99"/>
    <w:rsid w:val="00D11B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D11BCA"/>
    <w:pPr>
      <w:ind w:left="720"/>
      <w:contextualSpacing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Default">
    <w:name w:val="Default"/>
    <w:rsid w:val="00D11BC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uiPriority w:val="99"/>
    <w:semiHidden/>
    <w:rsid w:val="0073277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3277E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277E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77E"/>
    <w:rPr>
      <w:rFonts w:ascii="Tahoma" w:eastAsia="Calibri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529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3529"/>
    <w:rPr>
      <w:rFonts w:ascii="Calibri" w:eastAsia="Calibri" w:hAnsi="Calibri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17DD"/>
    <w:rPr>
      <w:rFonts w:ascii="Arial" w:hAnsi="Arial" w:cs="Arial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15F1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604D67"/>
  </w:style>
  <w:style w:type="character" w:customStyle="1" w:styleId="kx21rb">
    <w:name w:val="kx21rb"/>
    <w:basedOn w:val="DefaultParagraphFont"/>
    <w:rsid w:val="00604D67"/>
  </w:style>
  <w:style w:type="character" w:styleId="Emphasis">
    <w:name w:val="Emphasis"/>
    <w:basedOn w:val="DefaultParagraphFont"/>
    <w:uiPriority w:val="20"/>
    <w:qFormat/>
    <w:rsid w:val="00FC7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immunisationhandbook.health.gov.au/catch-up-calculator/calculat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.gov.au/health-topics/immunisation/health-professionals/catch-up-immunisation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2.education.vic.gov.au/pal/mature-minors-and-decision-making/polic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mvec.vic.edu.au/immunisation-references/catch-up-immunis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Immunisation@dhhs.vic.gov.a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2.health.vic.gov.au/about/publications/factsheets/vic-immunisation-catch-up-guidelin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2.health.vic.gov.au/about/publications/formsandtemplates/grace-period-eligibility-assessment-for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51E6D3-8FA4-4EE7-967F-8FADE6E2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6087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Beasley</dc:creator>
  <cp:lastModifiedBy>Claire Whyte (DHHS)</cp:lastModifiedBy>
  <cp:revision>2</cp:revision>
  <cp:lastPrinted>2015-08-21T04:17:00Z</cp:lastPrinted>
  <dcterms:created xsi:type="dcterms:W3CDTF">2020-09-11T06:16:00Z</dcterms:created>
  <dcterms:modified xsi:type="dcterms:W3CDTF">2020-09-11T06:16:00Z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2020-08-14T01:07:45.3329921Z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0d30dde1-2709-4564-9272-48deb593a834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